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14 SWG (Bayern) — Kennzeichnung und Ausrüstung</w:t>
      </w:r>
    </w:p>
    <w:p>
      <w:r>
        <w:rPr>
          <w:color w:val="555555"/>
          <w:sz w:val="18"/>
        </w:rPr>
        <w:t xml:space="preserve">Sicherheitswachtgesetz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(1) Die Angehörigen der Sicherheitswacht tragen während des Dienstes die dienstlich zur Verfügung gestellte Bekleidung; sie dürfen keine politischen Abzeichen tragen.</w:t>
      </w:r>
    </w:p>
    <w:p>
      <w:r>
        <w:t xml:space="preserve">(2) Die Angehörigen der Sicherheitswacht führen keine Schuß-, Hieb- und Stoßwaffen mit sich.</w:t>
      </w:r>
    </w:p>
    <w:p>
      <w:r>
        <w:rPr>
          <w:color w:val="555555"/>
          <w:sz w:val="17"/>
        </w:rPr>
        <w:t xml:space="preserve">Zitiervorschlag: Art 14 SWG (Bayern)</w:t>
      </w:r>
    </w:p>
    <w:p>
      <w:r>
        <w:rPr>
          <w:color w:val="555555"/>
          <w:sz w:val="17"/>
        </w:rPr>
        <w:t xml:space="preserve">Quelle: bayernrecht, abgerufen 27.08.2026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https://recht.nulegal.eu/gesetze/by-BaySWG--1997/14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