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NotV (Bayern)</w:t>
      </w:r>
    </w:p>
    <w:p>
      <w:r>
        <w:rPr>
          <w:color w:val="555555"/>
          <w:sz w:val="18"/>
        </w:rPr>
        <w:t xml:space="preserve">Notarverordnung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Auf Grund von § 6 Abs. 3 Satz 4, § 7 Abs. 5 Satz 2, § 9 Abs. 1 Satz 2, § 25 Abs. 2 Satz 1, § 67 Abs. 3 Nr. 3 Satz 4, §§ 112, 113 Abs. 4 der Bundesnotarordnung – BNotO – (BGBl III 303-1), zuletzt geändert durch Art. 1 Nr. 1 des Gesetzes vom 19. Dezember 1998 (BGBl I S. 3836), sowie § 54b Abs. 3 Satz 3 des Beurkundungsgesetzes vom 28. August 1969 (BGBl I S. 1513), zuletzt geändert durch Art. 2 des Gesetzes vom 31. August 1998 (BGBl I S. 2585), in Verbindung mit § 3 Nrn. 1 bis 6 der Verordnung zur Ausführung der Bundesnotarordnung vom 27. Juli 1999 (GVBl S. 339, BayRS 303-1-2-J), erlässt das Bayerische Staatsministerium der Justiz folgende Verordnung:</w:t>
      </w:r>
    </w:p>
    <w:p>
      <w:r>
        <w:rPr>
          <w:color w:val="555555"/>
          <w:sz w:val="17"/>
        </w:rPr>
        <w:t xml:space="preserve">Zitiervorschlag: Eingangsformel NotV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https://recht.nulegal.eu/gesetze/by-BayNotarV--2000/eingangsformel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