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NotV (Bayern) — Genehmigungsvorbehalt</w:t>
      </w:r>
    </w:p>
    <w:p>
      <w:r>
        <w:rPr>
          <w:color w:val="555555"/>
          <w:sz w:val="18"/>
        </w:rPr>
        <w:t xml:space="preserve">Notarverordnung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Ein Notar darf Personen mit der Befähigung zum Richteramt, Laufbahnprüfung für das Amt des Bezirksnotars oder Abschluss als Diplom-Jurist (juristischer Mitarbeiter) nur beschäftigen, wenn dies der Präsident des Oberlandesgerichts genehmigt hat. Gleiches gilt für die Änderung der Bedingungen, unter denen ein juristischer Mitarbeiter beschäftigt werden soll.</w:t>
      </w:r>
    </w:p>
    <w:p>
      <w:r>
        <w:t xml:space="preserve">(2) Vor einer Entscheidung sind die Landesnotarkammer und die Notarkasse – Anstalt des öffentlichen Rechts – in München (Notarkasse) zu hören.</w:t>
      </w:r>
    </w:p>
    <w:p>
      <w:r>
        <w:rPr>
          <w:color w:val="555555"/>
          <w:sz w:val="17"/>
        </w:rPr>
        <w:t xml:space="preserve">Zitiervorschlag: § 8 NotV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https://recht.nulegal.eu/gesetze/by-BayNotarV--2000/8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