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NotV (Bayern) — Beisitzer beim Bayerischen Obersten Landesgericht</w:t>
      </w:r>
    </w:p>
    <w:p>
      <w:r>
        <w:rPr>
          <w:color w:val="555555"/>
          <w:sz w:val="18"/>
        </w:rPr>
        <w:t xml:space="preserve">Notarverordnung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Bei der Ernennung von Notaren zum Beisitzer beim Bayerischen Obersten Landesgericht (§ 103 Abs. 1 Satz 1 BNotO, auch in Verbindung mit § 111 Abs. 4, § 111a Satz 3 und 4 BNotO und § 2) ist auf eine angemessene Berücksichtigung der Notare in den drei Oberlandesgerichtsbezirken zu achten. Die Ernennung erfolgt im Einvernehmen mit dem Präsidenten des Oberlandesgerichts, in dessen Bezirk der Notar seinen Amtssitz hat.</w:t>
      </w:r>
    </w:p>
    <w:p>
      <w:r>
        <w:rPr>
          <w:color w:val="555555"/>
          <w:sz w:val="17"/>
        </w:rPr>
        <w:t xml:space="preserve">Zitiervorschlag: § 6 NotV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https://recht.nulegal.eu/gesetze/by-BayNotarV--2000/6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