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NotV (Bayern) — Übergangsvorschriften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Für Verfahren nach § 2, die am 31. Dezember 2024 vor dem Oberlandesgericht München anhängig waren, und ihre Folgeentscheidungen bleibt das Oberlandesgericht München zuständig.</w:t>
      </w:r>
    </w:p>
    <w:p>
      <w:r>
        <w:t xml:space="preserve">(2) § 17 findet auch Anwendung auf Notarassessoren, die am 1. November 2024 im notariellen Anwärterdienst standen und bei denen vor dem 1. November 2024 anrechenbare Zeiten im Sinn von § 17 eingetreten sind.</w:t>
      </w:r>
    </w:p>
    <w:p>
      <w:r>
        <w:rPr>
          <w:color w:val="555555"/>
          <w:sz w:val="17"/>
        </w:rPr>
        <w:t xml:space="preserve">Zitiervorschlag: § 17a NotV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https://recht.nulegal.eu/gesetze/by-BayNotarV--2000/17a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