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LWG (Bayern) — Ordnungswidrigkeiten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kann belegt werden, wer</w:t>
      </w:r>
    </w:p>
    <w:p>
      <w:r>
        <w:t xml:space="preserve">1. entgegen Art. 9 ohne wichtigen Grund ein Ehrenamt ablehnt oder sich ohne genügende Entschuldigung den Pflichten eines solchen entzieht,</w:t>
      </w:r>
    </w:p>
    <w:p>
      <w:r>
        <w:t xml:space="preserve">2. entgegen Art. 12 Abs. 1 Abstimmende beeinflusst, behindert oder belästigt.</w:t>
      </w:r>
    </w:p>
    <w:p>
      <w:r>
        <w:t xml:space="preserve">(2) Mit Geldbuße bis zu 50 000 Euro kann belegt werden, wer entgegen Art. 12 Abs. 2 vor Ablauf der Abstimmungszeit Ergebnisse von Befragungen nach der Stimmabgabe über den Inhalt der Abstimmungsentscheidung veröffentlicht.</w:t>
      </w:r>
    </w:p>
    <w:p>
      <w:r>
        <w:rPr>
          <w:color w:val="555555"/>
          <w:sz w:val="17"/>
        </w:rPr>
        <w:t xml:space="preserve">Zitiervorschlag: Art 89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