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88 LWG (Bayern) — Volksentscheid über Beschlüsse des Landtags auf Änderung der Verfassung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Vom Landtag beschlossene Verfassungsänderungen sind dem Volk zur Entscheidung vorzulegen.</w:t>
      </w:r>
    </w:p>
    <w:p>
      <w:r>
        <w:t xml:space="preserve">(2) Für die Durchführung des Volksentscheids finden die Art. 75, 76 Abs. 1 und 3, Art. 77 Sätze 1 und 2, Art. 78, 80 und 81 entsprechende Anwendung.</w:t>
      </w:r>
    </w:p>
    <w:p>
      <w:r>
        <w:t xml:space="preserve">(3) Eine vom Landtag beschlossene Verfassungsänderung ist durch Volksentscheid angenommen, wenn sie mehr gültige Ja-Stimmen als Nein-Stimmen erhält.</w:t>
      </w:r>
    </w:p>
    <w:p>
      <w:r>
        <w:rPr>
          <w:color w:val="555555"/>
          <w:sz w:val="17"/>
        </w:rPr>
        <w:t xml:space="preserve">Zitiervorschlag: Art 88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