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78 LWG (Bayern) — Feststellung des Abstimmungsergebnisses</w:t>
      </w:r>
    </w:p>
    <w:p>
      <w:r>
        <w:rPr>
          <w:color w:val="555555"/>
          <w:sz w:val="18"/>
        </w:rPr>
        <w:t xml:space="preserve">Landeswahlgesetz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Nach Beendigung der Abstimmung stellt der Wahlvorstand das Abstimmungsergebnis für den Stimmbezirk fest.</w:t>
      </w:r>
    </w:p>
    <w:p>
      <w:r>
        <w:t xml:space="preserve">(2) Im Anschluss daran stellt der Abstimmungsausschuss das Abstimmungsergebnis für den Landkreis oder die kreisfreie Gemeinde fest.</w:t>
      </w:r>
    </w:p>
    <w:p>
      <w:r>
        <w:t xml:space="preserve">(3) Der Landeswahlausschuss stellt das Ergebnis des Volksentscheids fest.</w:t>
      </w:r>
    </w:p>
    <w:p>
      <w:r>
        <w:rPr>
          <w:color w:val="555555"/>
          <w:sz w:val="17"/>
        </w:rPr>
        <w:t xml:space="preserve">Zitiervorschlag: Art 78 LWG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https://recht.nulegal.eu/gesetze/by-BayLWG--2002/78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