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76 LWG (Bayern) — Stimmzettel, Stimmabgabe</w:t>
      </w:r>
    </w:p>
    <w:p>
      <w:r>
        <w:rPr>
          <w:color w:val="555555"/>
          <w:sz w:val="18"/>
        </w:rPr>
        <w:t xml:space="preserve">Landeswahlgesetz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Inhalt und Form des Stimmzettels werden vom Staatsministerium des Innern, für Sport und Integration bestimmt. Der Stimmzettel hat den Text des zur Abstimmung vorgelegten Gesetzentwurfs zu enthalten. Vom Abdruck umfangreicher Gesetzentwürfe kann abgesehen werden; der Gesetzentwurf ist dann den Stimmberechtigten vor der Abstimmung zu übermitteln.</w:t>
      </w:r>
    </w:p>
    <w:p>
      <w:r>
        <w:t xml:space="preserve">(2) Stehen mehrere Gesetzentwürfe, die den gleichen Gegenstand betreffen, inhaltlich aber miteinander nicht vereinbar sind, zur Abstimmung, so sind sie auf einem Stimmzettel gemeinsam aufzuführen; Absatz 1 Satz 3 gilt entsprechend. Ihre Reihenfolge richtet sich nach der vom Landeswahlausschuss festgestellten Zahl der gültigen Eintragungen. Hat der Landtag dem Volk einen eigenen Gesetzentwurf mit zur Abstimmung vorgelegt, so wird dieser vor den mit Volksbegehren gestellten Gesetzentwürfen aufgeführt.</w:t>
      </w:r>
    </w:p>
    <w:p>
      <w:r>
        <w:t xml:space="preserve">(3) Die abstimmende Person hat ihre Entscheidung, ob sie dem Gesetzentwurf zustimmt (Ja-Stimme) oder diesen ablehnt (Nein-Stimme), auf dem Stimmzettel durch ein Kreuz oder auf andere Weise eindeutig kenntlich zu machen.</w:t>
      </w:r>
    </w:p>
    <w:p>
      <w:r>
        <w:t xml:space="preserve">(4) Stehen mehrere Gesetzentwürfe, die den gleichen Gegenstand betreffen, inhaltlich aber miteinander nicht vereinbar sind, zur Abstimmung, so kann die abstimmende Person zu jedem einzelnen Gesetzentwurf kenntlich machen, ob sie ihn dem geltenden Recht vorzieht (Ja-Stimme) oder nicht (Nein-Stimme). Zusätzlich kann sie kenntlich machen, welchen der Gesetzentwürfe sie vorzieht für den Fall, dass zwei oder mehr Gesetzentwürfe jeweils die erforderliche Zustimmung (Art. 79 Abs. 1) erreichen (Stichfrage).</w:t>
      </w:r>
    </w:p>
    <w:p>
      <w:r>
        <w:rPr>
          <w:color w:val="555555"/>
          <w:sz w:val="17"/>
        </w:rPr>
        <w:t xml:space="preserve">Zitiervorschlag: Art 76 LWG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https://recht.nulegal.eu/gesetze/by-BayLWG--2002/76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