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75 LWG (Bayern) — Bekanntmachung von Tag und Gegenstand des Volksentscheids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Staatsregierung setzt den Tag der Abstimmung fest. Sie macht ihn mit dem Gegenstand des Volksentscheids bekannt.</w:t>
      </w:r>
    </w:p>
    <w:p>
      <w:r>
        <w:t xml:space="preserve">(2) Die Bekanntmachung hat zu enthalten:</w:t>
      </w:r>
    </w:p>
    <w:p>
      <w:r>
        <w:t xml:space="preserve">1. den Tag der Abstimmung,</w:t>
      </w:r>
    </w:p>
    <w:p>
      <w:r>
        <w:t xml:space="preserve">2. den Text des Gesetzentwurfs,</w:t>
      </w:r>
    </w:p>
    <w:p>
      <w:r>
        <w:t xml:space="preserve">3. eine Erläuterung der Staatsregierung (Art. 74 Abs. 7 der Verfassung), die bündig und sachlich sowohl die Begründung der Antragsteller wie die Auffassung der Staatsregierung und des Landtags einschließlich des Abstimmungsergebnisses im Landtag über den Gegenstand darlegen soll.</w:t>
      </w:r>
    </w:p>
    <w:p>
      <w:r>
        <w:rPr>
          <w:color w:val="555555"/>
          <w:sz w:val="17"/>
        </w:rPr>
        <w:t xml:space="preserve">Zitiervorschlag: Art 75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https://recht.nulegal.eu/gesetze/by-BayLWG--2002/75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