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LWG (Bayern) — Behandlung des Volksbegehrens im Landtag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Rechtsgültige Volksbegehren sind vom Landtag binnen drei Monaten nach Unterbreitung zu behandeln und – vorbehaltlich des Absatzes 3 – binnen weiterer drei Monate dem Volk zur Entscheidung vorzulegen. Bei Ablauf dieser Fristen während einer Vertagung des Landtags hat der Präsident den Landtag zu einer außerordentlichen Tagung einzuberufen.</w:t>
      </w:r>
    </w:p>
    <w:p>
      <w:r>
        <w:t xml:space="preserve">(2) Mehrere rechtsgültige Volksbegehren, die den gleichen Gegenstand betreffen, werden vom Landtag gemeinsam behandelt und dem Volk gemeinsam zur Entscheidung vorgelegt, wenn ihre Laufzeit zusammengefallen war oder sich überschnitten hatte. Die Laufzeit im Sinn des Satzes 1 umfasst den Zeitraum vom Eingang des Zulassungsantrags beim Staatsministerium des Innern, für Sport und Integration (Art. 63 Abs. 1 Satz 1) bis zur Feststellung des Ergebnisses des Volksbegehrens durch den Landeswahlausschuss (Art. 71 Abs. 1 Satz 1).</w:t>
      </w:r>
    </w:p>
    <w:p>
      <w:r>
        <w:t xml:space="preserve">(3) Nimmt der Landtag den begehrten Gesetzentwurf unverändert an, so entfällt ein Volksentscheid vorbehaltlich der Bestimmung des Art. 75 Abs. 2 der Verfassung.</w:t>
      </w:r>
    </w:p>
    <w:p>
      <w:r>
        <w:t xml:space="preserve">(4) Lehnt der Landtag den im Volksbegehren unterbreiteten Gesetzesantrag ab, so kann er dem Volk einen eigenen Gesetzentwurf zur Entscheidung mit vorlegen.</w:t>
      </w:r>
    </w:p>
    <w:p>
      <w:r>
        <w:t xml:space="preserve">(5) Wird durch den Landtag die Rechtsgültigkeit des Volksbegehrens bestritten, so ist der hierüber ergangene Beschluss durch das Staatsministerium des Innern, für Sport und Integration öffentlich bekannt zu machen. Auf Antrag von Unterzeichnern des Volksbegehrens entscheidet hierüber der Verfassungsgerichtshof (Art. 67 der Verfassung). Der Antrag muss innerhalb eines Monats nach Bekanntmachung des Beschlusses gestellt werden. Art. 64 ist entsprechend anzuwenden.</w:t>
      </w:r>
    </w:p>
    <w:p>
      <w:r>
        <w:rPr>
          <w:color w:val="555555"/>
          <w:sz w:val="17"/>
        </w:rPr>
        <w:t xml:space="preserve">Zitiervorschlag: Art 73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