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72 LWG (Bayern) — Vorlage des Volksbegehrens an den Landtag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Ministerpräsident hat rechtsgültige Volksbegehren innerhalb von vier Wochen namens der Staatsregierung unter Darlegung ihrer Stellungnahme dem Landtag zu unterbreiten.</w:t>
      </w:r>
    </w:p>
    <w:p>
      <w:r>
        <w:t xml:space="preserve">(2) In den Fällen des Art. 73 Abs. 2 hat der Ministerpräsident sämtliche Volksbegehren dem Landtag gemeinsam vorzulegen; die Frist des Absatzes 1 beginnt hier mit der Feststellung des Ergebnisses des vom Landeswahlausschuss zuletzt behandelten Volksbegehrens.</w:t>
      </w:r>
    </w:p>
    <w:p>
      <w:r>
        <w:rPr>
          <w:color w:val="555555"/>
          <w:sz w:val="17"/>
        </w:rPr>
        <w:t xml:space="preserve">Zitiervorschlag: Art 72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https://recht.nulegal.eu/gesetze/by-BayLWG--2002/72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