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LWG (Bayern) — Feststellung des Ergebnisses des Volksbegehrens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Landeswahlausschuss stellt das Ergebnis des Volksbegehrens fest. Er ist dabei an die Auffassung der Gemeinde oder des Landratsamts über die Gültigkeit der Eintragungen nicht gebunden.</w:t>
      </w:r>
    </w:p>
    <w:p>
      <w:r>
        <w:t xml:space="preserve">(2) Zur Rechtsgültigkeit des Volksbegehrens ist es erforderlich, dass das Verlangen nach Schaffung eines Gesetzes von mindestens einem Zehntel der Stimmberechtigten gestellt worden ist.</w:t>
      </w:r>
    </w:p>
    <w:p>
      <w:r>
        <w:t xml:space="preserve">(3) Der Landeswahlleiter macht das vom Landeswahlausschuss festgestellte Ergebnis des Volksbegehrens bekannt.</w:t>
      </w:r>
    </w:p>
    <w:p>
      <w:r>
        <w:rPr>
          <w:color w:val="555555"/>
          <w:sz w:val="17"/>
        </w:rPr>
        <w:t xml:space="preserve">Zitiervorschlag: Art 71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