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LWG (Bayern) — Auslegung der Eintragungslisten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Unterzeichner des Zulassungsantrags haben den kreisfreien Gemeinden, für die kreisangehörigen Gemeinden den Landratsämtern die erforderliche Anzahl vorschriftsmäßiger Eintragungslisten gegen Empfangsnachweis spätestens zwei Wochen vor Beginn der Eintragungsfrist zuzuleiten. Diese müssen den vollen Inhalt des Volksbegehrens enthalten.</w:t>
      </w:r>
    </w:p>
    <w:p>
      <w:r>
        <w:t xml:space="preserve">(2) Die Gemeinden sind verpflichtet, die Eintragungslisten für die Dauer der Eintragungsfrist zum Eintrag der Unterzeichnungserklärung bereitzuhalten. Die Eintragungsräume und -stunden sind so zu bestimmen, dass jede stimmberechtigte Person ausreichend Gelegenheit findet, sich an dem Volksbegehren zu beteiligen.</w:t>
      </w:r>
    </w:p>
    <w:p>
      <w:r>
        <w:rPr>
          <w:color w:val="555555"/>
          <w:sz w:val="17"/>
        </w:rPr>
        <w:t xml:space="preserve">Zitiervorschlag: Art 68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