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62 LWG (Bayern) — Volksgesetzgebung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Volk übt das unmittelbare Recht der Gesetzgebung aus durch die Vorlage von Gesetzentwürfen in Volksbegehren und durch die Abstimmung über Gesetze in Volksentscheiden.</w:t>
      </w:r>
    </w:p>
    <w:p>
      <w:r>
        <w:t xml:space="preserve">(2) Über den Staatshaushalt findet kein Volksentscheid statt (Art. 73 der Verfassung). Ebenso sind Volksbegehren und Volksentscheid auf Verfassungsänderungen, die dem demokratischen Grundgedanken der Verfassung widersprechen, unzulässig.</w:t>
      </w:r>
    </w:p>
    <w:p>
      <w:r>
        <w:rPr>
          <w:color w:val="555555"/>
          <w:sz w:val="17"/>
        </w:rPr>
        <w:t xml:space="preserve">Zitiervorschlag: Art 62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https://recht.nulegal.eu/gesetze/by-BayLWG--2002/62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