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LWG (Bayern) — Leistungen an Parteien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staatlichen Mittel nach dem Parteiengesetz für die bei Landtagswahlen erzielten Stimmen werden vom Präsidenten des Landtags festgesetzt und an die Landesverbände der Parteien ausgezahlt.</w:t>
      </w:r>
    </w:p>
    <w:p>
      <w:r>
        <w:t xml:space="preserve">(2) Die erforderlichen Mittel sind im Haushalt des Freistaates Bayern in dem für den Landtag geltenden Einzelplan auszubringen.</w:t>
      </w:r>
    </w:p>
    <w:p>
      <w:r>
        <w:t xml:space="preserve">(3) Der Oberste Rechnungshof prüft, ob der Präsident des Landtags als mittelverwaltende Stelle die staatlichen Mittel entsprechend den Vorschriften des Parteiengesetzes ausgezahlt hat.</w:t>
      </w:r>
    </w:p>
    <w:p>
      <w:r>
        <w:rPr>
          <w:color w:val="555555"/>
          <w:sz w:val="17"/>
        </w:rPr>
        <w:t xml:space="preserve">Zitiervorschlag: Art 60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