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LWG (Bayern) — Wahlorgane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Wahlorgane sind</w:t>
      </w:r>
    </w:p>
    <w:p>
      <w:r>
        <w:t xml:space="preserve">1. der Landeswahlleiter und der Landeswahlausschuss für das Staatsgebiet,</w:t>
      </w:r>
    </w:p>
    <w:p>
      <w:r>
        <w:t xml:space="preserve">2. bei Landtagswahlen ein Beschwerdeausschuss für das Staatsgebiet,</w:t>
      </w:r>
    </w:p>
    <w:p>
      <w:r>
        <w:t xml:space="preserve">3. bei Landtagswahlen ein Wahlkreisleiter und ein Wahlkreisausschuss für jeden Wahlkreis,</w:t>
      </w:r>
    </w:p>
    <w:p>
      <w:r>
        <w:t xml:space="preserve">4. bei Landtagswahlen ein Stimmkreisleiter und ein Stimmkreisausschuss für jeden Stimmkreis, bei Volksentscheiden ein Abstimmungsleiter und ein Abstimmungsausschuss für jeden Landkreis und für jede kreisfreie Gemeinde,</w:t>
      </w:r>
    </w:p>
    <w:p>
      <w:r>
        <w:t xml:space="preserve">5. ein Wahlvorsteher und ein Wahlvorstand für jeden Stimmbezirk; der Stimmkreisleiter soll anordnen, dass ein Wahlvorstand, der weniger als 50 Stimmberechtigte zur Abstimmung zugelassen hat, die Abstimmungsverhandlungen zur Ergebnisermittlung einem anderen Wahlvorstand übergibt, und</w:t>
      </w:r>
    </w:p>
    <w:p>
      <w:r>
        <w:t xml:space="preserve">6. mindestens ein Wahlvorsteher und ein Wahlvorstand für jede Gemeinde zur Feststellung des Briefwahlergebnisses (Briefwahlvorstand); der Stimmkreisleiter kann anordnen, dass für mehrere Gemeinden ein gemeinsamer Briefwahlvorstand zu bilden ist, und eine dieser Gemeinden mit der Durchführung der Briefwahl betrauen.</w:t>
      </w:r>
    </w:p>
    <w:p>
      <w:r>
        <w:rPr>
          <w:color w:val="555555"/>
          <w:sz w:val="17"/>
        </w:rPr>
        <w:t xml:space="preserve">Zitiervorschlag: Art 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