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LWG (Bayern) — Wahl der Abgeordneten aus den Wahlkreislisten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Wahlkreisvorschlag erhält zur Verteilung an die Wahlkreisbewerber so viele Sitze zugeteilt, als der Unterschied zwischen den nach Art. 42 Abs. 2 ermittelten Sitzen und den nach Art. 43 gewählten Stimmkreisbewerbern des betreffenden Wahlkreisvorschlags ergibt.</w:t>
      </w:r>
    </w:p>
    <w:p>
      <w:r>
        <w:t xml:space="preserve">(2) In den Stimmkreisen errungene Sitze verbleiben dem Wahlkreisvorschlag auch dann, wenn sie die nach Art. 42 Abs. 2 ermittelte Zahl der Sitze übersteigen (Überhangmandate). Die Zahl der auf den Wahlkreis treffenden Sitze (Art. 21 Abs. 2) wird so lange erhöht, bis sich bei ihrer Verteilung nach Art. 42 Abs. 2 für diesen Wahlkreisvorschlag die Zahl der für ihn in den Stimmkreisen errungenen Sitze ergibt.</w:t>
      </w:r>
    </w:p>
    <w:p>
      <w:r>
        <w:rPr>
          <w:color w:val="555555"/>
          <w:sz w:val="17"/>
        </w:rPr>
        <w:t xml:space="preserve">Zitiervorschlag: Art 44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