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LWG (Bayern) — Feststellung des Wahlergebnisses im Stimmkreis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Stimmkreisausschuss stellt fest, wie viele gültige Stimmen im Stimmkreis</w:t>
      </w:r>
    </w:p>
    <w:p>
      <w:r>
        <w:t xml:space="preserve">1. insgesamt,</w:t>
      </w:r>
    </w:p>
    <w:p>
      <w:r>
        <w:t xml:space="preserve">2. für jeden Stimmkreisbewerber,</w:t>
      </w:r>
    </w:p>
    <w:p>
      <w:r>
        <w:t xml:space="preserve">3. für jeden Wahlkreisbewerber,</w:t>
      </w:r>
    </w:p>
    <w:p>
      <w:r>
        <w:t xml:space="preserve">4. für jede Wahlkreisliste nach Art. 40 Abs. 2,</w:t>
      </w:r>
    </w:p>
    <w:p>
      <w:r>
        <w:t xml:space="preserve">5. für jeden Wahlkreisvorschlag insgesamt</w:t>
      </w:r>
    </w:p>
    <w:p>
      <w:r>
        <w:t xml:space="preserve">abgegeben worden sind.</w:t>
      </w:r>
    </w:p>
    <w:p>
      <w:r>
        <w:rPr>
          <w:color w:val="555555"/>
          <w:sz w:val="17"/>
        </w:rPr>
        <w:t xml:space="preserve">Zitiervorschlag: Art 41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