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LWG (Bayern) — Beauftragte für die Wahlkreisvorschläge</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In jedem Wahlkreisvorschlag sollen ein Beauftragter und ein Stellvertreter bezeichnet werden; fehlt diese Bezeichnung, so gilt der erste Unterzeichner als Beauftragter, der zweite als sein Stellvertreter.</w:t>
      </w:r>
    </w:p>
    <w:p>
      <w:r>
        <w:t xml:space="preserve">(2) Soweit in diesem Gesetz nichts anderes bestimmt ist, sind nur der Beauftragte und sein Stellvertreter, jeder für sich, berechtigt, verbindliche Erklärungen zum Wahlkreisvorschlag abzugeben und entgegenzunehmen. Im Zweifelsfall gilt die Erklärung des Beauftragten.</w:t>
      </w:r>
    </w:p>
    <w:p>
      <w:r>
        <w:t xml:space="preserve">(3) Der Beauftragte und sein Stellvertreter können durch schriftliche Erklärung der Mehrheit der Unterzeichner des Wahlkreisvorschlags gemäß Art. 27 Abs. 1 Nr. 4 Satz 1 gegenüber dem Wahlkreisleiter abberufen und durch andere ersetzt werden.</w:t>
      </w:r>
    </w:p>
    <w:p>
      <w:r>
        <w:rPr>
          <w:color w:val="555555"/>
          <w:sz w:val="17"/>
        </w:rPr>
        <w:t xml:space="preserve">Zitiervorschlag: Art 30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