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LWG (Bayern) — Briefwahl</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Briefwahl hat die abstimmende Person der Gemeinde, die den Wahlschein ausgestellt hat, im verschlossenen Wahlbriefumschlag</w:t>
      </w:r>
    </w:p>
    <w:p>
      <w:r>
        <w:t xml:space="preserve">1. ihren Wahlschein,</w:t>
      </w:r>
    </w:p>
    <w:p>
      <w:r>
        <w:t xml:space="preserve">2. in einem besonderen verschlossenen Stimmzettelumschlag ihre Stimmzettel</w:t>
      </w:r>
    </w:p>
    <w:p>
      <w:r>
        <w:t xml:space="preserve">so rechtzeitig zu übersenden, dass der Wahlbrief spätestens am Tag der Abstimmung bis zum Ende der Abstimmungszeit eingeht. Art. 13 Abs. 2 gilt entsprechend.</w:t>
      </w:r>
    </w:p>
    <w:p>
      <w:r>
        <w:t xml:space="preserve">(2) Auf dem Wahlschein hat die abstimmende Person oder die Person ihres Vertrauens an Eides statt zu versichern, dass die Stimmzettel persönlich oder gemäß dem erklärten Willen der abstimmenden Person gekennzeichnet worden sind.</w:t>
      </w:r>
    </w:p>
    <w:p>
      <w:r>
        <w:rPr>
          <w:color w:val="555555"/>
          <w:sz w:val="17"/>
        </w:rPr>
        <w:t xml:space="preserve">Zitiervorschlag: Art 15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