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LWG (Bayern) — Stimmzettel, Stimmenzählgeräte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Stimmabgabe werden amtliche Stimmzettel verwendet.</w:t>
      </w:r>
    </w:p>
    <w:p>
      <w:r>
        <w:t xml:space="preserve">(2) Das Staatsministerium des Innern, für Sport und Integration kann zulassen, dass an Stelle von Stimmzetteln amtlich zugelassene Stimmenzählgeräte verwendet werden.</w:t>
      </w:r>
    </w:p>
    <w:p>
      <w:r>
        <w:rPr>
          <w:color w:val="555555"/>
          <w:sz w:val="17"/>
        </w:rPr>
        <w:t xml:space="preserve">Zitiervorschlag: Art 14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