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9 HG 2024/2025 (Bayern) — Änderung des Gesetzes zur Ausführung der Sozialgesetze</w:t>
      </w:r>
    </w:p>
    <w:p>
      <w:r>
        <w:rPr>
          <w:color w:val="555555"/>
          <w:sz w:val="18"/>
        </w:rPr>
        <w:t xml:space="preserve">Haushaltsgesetz 2024/2025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Gesetz zur Ausführung der Sozialgesetze (AGSG) vom 8. Dezember 2006 (GVBl. S. 942, BayRS 86-7-A/G), das zuletzt durch § 1 des Gesetzes vom 7. Juli 2023 (GVBl. S. 334), durch § 4 des Gesetzes vom 24. Juli 2023 (GVBl. S. 431) und durch § 2 des Gesetzes vom 24. Juli 2023 (GVBl. S. 443) geändert worden ist, wird wie folgt geändert:</w:t>
      </w:r>
    </w:p>
    <w:p>
      <w:r>
        <w:t xml:space="preserve">1. Nach Teil 15 wird folgender Teil 16 eingefügt:</w:t>
      </w:r>
    </w:p>
    <w:p>
      <w:r>
        <w:t xml:space="preserve">“Teil 16 Einmalige Integrations-, Asyl- und Digitalisierungspauschale für Kommunen “</w:t>
      </w:r>
    </w:p>
    <w:p>
      <w:r>
        <w:t xml:space="preserve">“Art. 118</w:t>
      </w:r>
    </w:p>
    <w:p>
      <w:r>
        <w:t xml:space="preserve">Integrationspauschale</w:t>
      </w:r>
    </w:p>
    <w:p>
      <w:r>
        <w:t xml:space="preserve">(1) Der Freistaat Bayern gewährt den Landkreisen und kreisfreien Gemeinden eine einmalige Integrations-, Asyl- und Digitalisierungspauschale (Integrationspauschale) gemäß der Aufstellung in der Anlage. Zuständig für den Vollzug sind die Regierungen.</w:t>
      </w:r>
    </w:p>
    <w:p>
      <w:r>
        <w:t xml:space="preserve">(2) Die Integrationspauschale ist zu jeweils 15 % für Ausgaben in den Bereichen</w:t>
      </w:r>
    </w:p>
    <w:p>
      <w:r>
        <w:t xml:space="preserve">1. Integration,</w:t>
      </w:r>
    </w:p>
    <w:p>
      <w:r>
        <w:t xml:space="preserve">2. Asyl und</w:t>
      </w:r>
    </w:p>
    <w:p>
      <w:r>
        <w:t xml:space="preserve">3. Digitalisierung der unteren Ausländerbehörden</w:t>
      </w:r>
    </w:p>
    <w:p>
      <w:r>
        <w:t xml:space="preserve">zu verwenden. Den verbleibenden Teil ordnen die Landkreise und kreisfreien Gemeinden ihrem Bedarf entsprechend einem oder mehreren der Bereiche zu.“</w:t>
      </w:r>
    </w:p>
    <w:p>
      <w:r>
        <w:t xml:space="preserve">2. Der bisherige Teil 16 wird Teil 17.</w:t>
      </w:r>
    </w:p>
    <w:p>
      <w:r>
        <w:t xml:space="preserve">3. Der bisherige Art. 118 wird Art. 119 und Abs. 2 wird wie folgt gefasst:</w:t>
      </w:r>
    </w:p>
    <w:p>
      <w:r>
        <w:t xml:space="preserve">“(2) Mit Ablauf des 31. Dezember 2026 treten</w:t>
      </w:r>
    </w:p>
    <w:p>
      <w:r>
        <w:t xml:space="preserve">1. Art. 118 und</w:t>
      </w:r>
    </w:p>
    <w:p>
      <w:r>
        <w:t xml:space="preserve">2. die Anlage</w:t>
      </w:r>
    </w:p>
    <w:p>
      <w:r>
        <w:t xml:space="preserve">außer Kraft.“</w:t>
      </w:r>
    </w:p>
    <w:p>
      <w:r>
        <w:t xml:space="preserve">4. Folgende Anlage wird angefügt:</w:t>
      </w:r>
    </w:p>
    <w:p>
      <w:r>
        <w:rPr>
          <w:color w:val="555555"/>
          <w:sz w:val="17"/>
        </w:rPr>
        <w:t xml:space="preserve">Zitiervorschlag: Art 9 HG 2024/2025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https://recht.nulegal.eu/gesetze/by-BayHG2024_2025/9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9 HG 2024/2025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