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HG 2021 (Bayern) — Konjunkturpolitisch bedingte Maßnahmen</w:t>
      </w:r>
    </w:p>
    <w:p>
      <w:r>
        <w:rPr>
          <w:color w:val="555555"/>
          <w:sz w:val="18"/>
        </w:rPr>
        <w:t xml:space="preserve">Haushaltsgesetz 2021</w:t>
      </w:r>
    </w:p>
    <w:p>
      <w:r>
        <w:rPr>
          <w:color w:val="555555"/>
          <w:sz w:val="18"/>
        </w:rPr>
        <w:t xml:space="preserve">Landesrecht Bayern</w:t>
      </w:r>
    </w:p>
    <w:p>
      <w:r>
        <w:rPr>
          <w:color w:val="555555"/>
          <w:sz w:val="18"/>
        </w:rPr>
        <w:t xml:space="preserve">Stand: 27.08.2026 (konsolidierte Textfassung, kein amtliches Inkrafttretensdatum)</w:t>
      </w:r>
    </w:p>
    <w:p>
      <w:r>
        <w:t xml:space="preserve">(1) Die Staatsregierung kann bei einer allgemeinen Abschwächung der Wirtschaftstätigkeit gemäß § 6 Abs. 2 in Verbindung mit § 14 des Gesetzes zur Förderung der Stabilität und des Wachstums der Wirtschaft zusätzliche Ausgaben beschließen, wenn und soweit hierfür zusätzliche Finanzhilfen des Bundes gemäß Art. 104b Abs. 1 Satz 1 Nr. 1 des Grundgesetzes zur Abwehr einer Störung des gesamtwirtschaftlichen Gleichgewichts zur Verfügung stehen.</w:t>
      </w:r>
    </w:p>
    <w:p>
      <w:r>
        <w:t xml:space="preserve">(2) Im Fall einer die volkswirtschaftliche Leistungsfähigkeit übersteigenden Nachfrageausweitung kann die Staatsregierung das Staatsministerium der Finanzen und für Heimat ermächtigen, die Verfügung über bestimmte Ausgabemittel, den Beginn von Baumaßnahmen und das Eingehen von Verpflichtungen zulasten künftiger Haushaltsjahre von seiner Einwilligung abhängig zu machen. Das Staatsministerium der Finanzen und für Heimat hat die dadurch nach Ablauf eines Haushaltsjahres frei gewordenen Mittel, soweit sie nicht zur Verminderung des Kreditbedarfs verwendet werden können, einer Ausgleichsrücklage zuzuführen.</w:t>
      </w:r>
    </w:p>
    <w:p>
      <w:r>
        <w:rPr>
          <w:color w:val="555555"/>
          <w:sz w:val="17"/>
        </w:rPr>
        <w:t xml:space="preserve">Zitiervorschlag: Art 3 HG 2021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https://recht.nulegal.eu/gesetze/by-BayHG2021--2021/3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HG 2021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