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HG 2019/2020 (Bayern) — Konjunkturpolitisch bedingte Maßnahmen</w:t>
      </w:r>
    </w:p>
    <w:p>
      <w:r>
        <w:rPr>
          <w:color w:val="555555"/>
          <w:sz w:val="18"/>
        </w:rPr>
        <w:t xml:space="preserve">Haushaltsgesetz 2019/2020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Die Staatsregierung kann bei einer allgemeinen Abschwächung der Wirtschaftstätigkeit gemäß § 6 Abs. 2 in Verbindung mit § 14 des Gesetzes zur Förderung der Stabilität und des Wachstums der Wirtschaft zusätzliche Ausgaben beschließen, wenn und soweit hierfür zusätzliche Finanzhilfen des Bundes gemäß Art. 104b Abs. 1 Satz 1 Nr. 1 des Grundgesetzes zur Abwehr einer Störung des gesamtwirtschaftlichen Gleichgewichts zur Verfügung stehen.</w:t>
      </w:r>
    </w:p>
    <w:p>
      <w:r>
        <w:t xml:space="preserve">(2) Im Fall einer die volkswirtschaftliche Leistungsfähigkeit übersteigenden Nachfrageausweitung kann die Staatsregierung das Staatsministerium der Finanzen und für Heimat ermächtigen, die Verfügung über bestimmte Ausgabemittel, den Beginn von Baumaßnahmen und das Eingehen von Verpflichtungen zulasten künftiger Haushaltsjahre von seiner Einwilligung abhängig zu machen. Das Staatsministerium der Finanzen und für Heimat hat die dadurch nach Ablauf eines Haushaltsjahres frei gewordenen Mittel, soweit sie nicht zur Verminderung des Kreditbedarfs verwendet werden können, einer Ausgleichsrücklage zuzuführen.</w:t>
      </w:r>
    </w:p>
    <w:p>
      <w:r>
        <w:rPr>
          <w:color w:val="555555"/>
          <w:sz w:val="17"/>
        </w:rPr>
        <w:t xml:space="preserve">Zitiervorschlag: Art 3 HG 2019/2020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https://recht.nulegal.eu/gesetze/by-BayHG2019_2020/3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HG 2019/2020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