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12 HG 2019/2020 (Bayern) — Änderung des Bayerischen Schulfinanzierungsgesetzes</w:t>
      </w:r>
    </w:p>
    <w:p>
      <w:r>
        <w:rPr>
          <w:color w:val="555555"/>
          <w:sz w:val="18"/>
        </w:rPr>
        <w:t xml:space="preserve">Haushaltsgesetz 2019/2020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Bayerische Schulfinanzierungsgesetz (BaySchFG) in der Fassung der Bekanntmachung vom 31. Mai 2000 (GVBl. S. 455, 633, BayRS 2230-7-1-K), das zuletzt durch § 1 Abs. 216 der Verordnung vom 26. März 2019 (GVBl. S. 98) geändert worden ist, wird wie folgt geändert:</w:t>
      </w:r>
    </w:p>
    <w:p>
      <w:r>
        <w:t xml:space="preserve">1. In Art. 10 Abs. 8 wird die Angabe „Absatz 8“ durch die Angabe „Abs. 7“ ersetzt.</w:t>
      </w:r>
    </w:p>
    <w:p>
      <w:r>
        <w:t xml:space="preserve">2. Art. 31 wird wie folgt geändert:</w:t>
      </w:r>
    </w:p>
    <w:p>
      <w:r>
        <w:t xml:space="preserve">a) In Abs. 2 werden die Tabellen nach Satz 1 wie folgt gefasst:</w:t>
      </w:r>
    </w:p>
    <w:p>
      <w:r>
        <w:t xml:space="preserve">“A:</w:t>
      </w:r>
    </w:p>
    <w:p>
      <w:r>
        <w:t xml:space="preserve">Grundschulen</w:t>
      </w:r>
    </w:p>
    <w:p>
      <w:r>
        <w:t xml:space="preserve">Schülerzahlbereich</w:t>
      </w:r>
    </w:p>
    <w:p>
      <w:r>
        <w:t xml:space="preserve">Je Schüler … LWStd</w:t>
      </w:r>
    </w:p>
    <w:p>
      <w:r>
        <w:t xml:space="preserve">Für die ersten … Schüler</w:t>
      </w:r>
    </w:p>
    <w:p>
      <w:r>
        <w:t xml:space="preserve">LWStd</w:t>
      </w:r>
    </w:p>
    <w:p>
      <w:r>
        <w:t xml:space="preserve">14 bis 50</w:t>
      </w:r>
    </w:p>
    <w:p>
      <w:r>
        <w:t xml:space="preserve">1,378</w:t>
      </w:r>
    </w:p>
    <w:p>
      <w:r>
        <w:t xml:space="preserve">13</w:t>
      </w:r>
    </w:p>
    <w:p>
      <w:r>
        <w:t xml:space="preserve">21,20</w:t>
      </w:r>
    </w:p>
    <w:p>
      <w:r>
        <w:t xml:space="preserve">51 bis 100</w:t>
      </w:r>
    </w:p>
    <w:p>
      <w:r>
        <w:t xml:space="preserve">1,272</w:t>
      </w:r>
    </w:p>
    <w:p>
      <w:r>
        <w:t xml:space="preserve">50</w:t>
      </w:r>
    </w:p>
    <w:p>
      <w:r>
        <w:t xml:space="preserve">72,10</w:t>
      </w:r>
    </w:p>
    <w:p>
      <w:r>
        <w:t xml:space="preserve">101 bis 150</w:t>
      </w:r>
    </w:p>
    <w:p>
      <w:r>
        <w:t xml:space="preserve">1,272</w:t>
      </w:r>
    </w:p>
    <w:p>
      <w:r>
        <w:t xml:space="preserve">100</w:t>
      </w:r>
    </w:p>
    <w:p>
      <w:r>
        <w:t xml:space="preserve">134,60</w:t>
      </w:r>
    </w:p>
    <w:p>
      <w:r>
        <w:t xml:space="preserve">151 bis 200</w:t>
      </w:r>
    </w:p>
    <w:p>
      <w:r>
        <w:t xml:space="preserve">1,219</w:t>
      </w:r>
    </w:p>
    <w:p>
      <w:r>
        <w:t xml:space="preserve">150</w:t>
      </w:r>
    </w:p>
    <w:p>
      <w:r>
        <w:t xml:space="preserve">196,10</w:t>
      </w:r>
    </w:p>
    <w:p>
      <w:r>
        <w:t xml:space="preserve">201 bis 250</w:t>
      </w:r>
    </w:p>
    <w:p>
      <w:r>
        <w:t xml:space="preserve">1,219</w:t>
      </w:r>
    </w:p>
    <w:p>
      <w:r>
        <w:t xml:space="preserve">200</w:t>
      </w:r>
    </w:p>
    <w:p>
      <w:r>
        <w:t xml:space="preserve">254,40</w:t>
      </w:r>
    </w:p>
    <w:p>
      <w:r>
        <w:t xml:space="preserve">251 bis 300</w:t>
      </w:r>
    </w:p>
    <w:p>
      <w:r>
        <w:t xml:space="preserve">1,219</w:t>
      </w:r>
    </w:p>
    <w:p>
      <w:r>
        <w:t xml:space="preserve">250</w:t>
      </w:r>
    </w:p>
    <w:p>
      <w:r>
        <w:t xml:space="preserve">313,80</w:t>
      </w:r>
    </w:p>
    <w:p>
      <w:r>
        <w:t xml:space="preserve">301 bis 350</w:t>
      </w:r>
    </w:p>
    <w:p>
      <w:r>
        <w:t xml:space="preserve">1,166</w:t>
      </w:r>
    </w:p>
    <w:p>
      <w:r>
        <w:t xml:space="preserve">300</w:t>
      </w:r>
    </w:p>
    <w:p>
      <w:r>
        <w:t xml:space="preserve">373,10</w:t>
      </w:r>
    </w:p>
    <w:p>
      <w:r>
        <w:t xml:space="preserve">351 bis 400</w:t>
      </w:r>
    </w:p>
    <w:p>
      <w:r>
        <w:t xml:space="preserve">1,166</w:t>
      </w:r>
    </w:p>
    <w:p>
      <w:r>
        <w:t xml:space="preserve">350</w:t>
      </w:r>
    </w:p>
    <w:p>
      <w:r>
        <w:t xml:space="preserve">430,40</w:t>
      </w:r>
    </w:p>
    <w:p>
      <w:r>
        <w:t xml:space="preserve">401 bis 450</w:t>
      </w:r>
    </w:p>
    <w:p>
      <w:r>
        <w:t xml:space="preserve">1,166</w:t>
      </w:r>
    </w:p>
    <w:p>
      <w:r>
        <w:t xml:space="preserve">400</w:t>
      </w:r>
    </w:p>
    <w:p>
      <w:r>
        <w:t xml:space="preserve">488,70</w:t>
      </w:r>
    </w:p>
    <w:p>
      <w:r>
        <w:t xml:space="preserve">451 bis 500</w:t>
      </w:r>
    </w:p>
    <w:p>
      <w:r>
        <w:t xml:space="preserve">1,113</w:t>
      </w:r>
    </w:p>
    <w:p>
      <w:r>
        <w:t xml:space="preserve">450</w:t>
      </w:r>
    </w:p>
    <w:p>
      <w:r>
        <w:t xml:space="preserve">545,90</w:t>
      </w:r>
    </w:p>
    <w:p>
      <w:r>
        <w:t xml:space="preserve">ab 501</w:t>
      </w:r>
    </w:p>
    <w:p>
      <w:r>
        <w:t xml:space="preserve">1,113</w:t>
      </w:r>
    </w:p>
    <w:p>
      <w:r>
        <w:t xml:space="preserve">500</w:t>
      </w:r>
    </w:p>
    <w:p>
      <w:r>
        <w:t xml:space="preserve">600,00</w:t>
      </w:r>
    </w:p>
    <w:p>
      <w:r>
        <w:t xml:space="preserve">B:</w:t>
      </w:r>
    </w:p>
    <w:p>
      <w:r>
        <w:t xml:space="preserve">Mittelschulen</w:t>
      </w:r>
    </w:p>
    <w:p>
      <w:r>
        <w:t xml:space="preserve">Schülerzahlbereich</w:t>
      </w:r>
    </w:p>
    <w:p>
      <w:r>
        <w:t xml:space="preserve">Je Schüler … LWStd</w:t>
      </w:r>
    </w:p>
    <w:p>
      <w:r>
        <w:t xml:space="preserve">Für die ersten … Schüler</w:t>
      </w:r>
    </w:p>
    <w:p>
      <w:r>
        <w:t xml:space="preserve">LWStd</w:t>
      </w:r>
    </w:p>
    <w:p>
      <w:r>
        <w:t xml:space="preserve">14 bis 50</w:t>
      </w:r>
    </w:p>
    <w:p>
      <w:r>
        <w:t xml:space="preserve">2,020</w:t>
      </w:r>
    </w:p>
    <w:p>
      <w:r>
        <w:t xml:space="preserve">13</w:t>
      </w:r>
    </w:p>
    <w:p>
      <w:r>
        <w:t xml:space="preserve">21,80</w:t>
      </w:r>
    </w:p>
    <w:p>
      <w:r>
        <w:t xml:space="preserve">51 bis 100</w:t>
      </w:r>
    </w:p>
    <w:p>
      <w:r>
        <w:t xml:space="preserve">1,966</w:t>
      </w:r>
    </w:p>
    <w:p>
      <w:r>
        <w:t xml:space="preserve">50</w:t>
      </w:r>
    </w:p>
    <w:p>
      <w:r>
        <w:t xml:space="preserve">93,90</w:t>
      </w:r>
    </w:p>
    <w:p>
      <w:r>
        <w:t xml:space="preserve">101 bis 150</w:t>
      </w:r>
    </w:p>
    <w:p>
      <w:r>
        <w:t xml:space="preserve">1,911</w:t>
      </w:r>
    </w:p>
    <w:p>
      <w:r>
        <w:t xml:space="preserve">100</w:t>
      </w:r>
    </w:p>
    <w:p>
      <w:r>
        <w:t xml:space="preserve">192,20</w:t>
      </w:r>
    </w:p>
    <w:p>
      <w:r>
        <w:t xml:space="preserve">151 bis 200</w:t>
      </w:r>
    </w:p>
    <w:p>
      <w:r>
        <w:t xml:space="preserve">1,856</w:t>
      </w:r>
    </w:p>
    <w:p>
      <w:r>
        <w:t xml:space="preserve">150</w:t>
      </w:r>
    </w:p>
    <w:p>
      <w:r>
        <w:t xml:space="preserve">283,90</w:t>
      </w:r>
    </w:p>
    <w:p>
      <w:r>
        <w:t xml:space="preserve">201 bis 250</w:t>
      </w:r>
    </w:p>
    <w:p>
      <w:r>
        <w:t xml:space="preserve">1,747</w:t>
      </w:r>
    </w:p>
    <w:p>
      <w:r>
        <w:t xml:space="preserve">200</w:t>
      </w:r>
    </w:p>
    <w:p>
      <w:r>
        <w:t xml:space="preserve">376,70</w:t>
      </w:r>
    </w:p>
    <w:p>
      <w:r>
        <w:t xml:space="preserve">251 bis 300</w:t>
      </w:r>
    </w:p>
    <w:p>
      <w:r>
        <w:t xml:space="preserve">1,747</w:t>
      </w:r>
    </w:p>
    <w:p>
      <w:r>
        <w:t xml:space="preserve">250</w:t>
      </w:r>
    </w:p>
    <w:p>
      <w:r>
        <w:t xml:space="preserve">464,10</w:t>
      </w:r>
    </w:p>
    <w:p>
      <w:r>
        <w:t xml:space="preserve">301 bis 350</w:t>
      </w:r>
    </w:p>
    <w:p>
      <w:r>
        <w:t xml:space="preserve">1,747</w:t>
      </w:r>
    </w:p>
    <w:p>
      <w:r>
        <w:t xml:space="preserve">300</w:t>
      </w:r>
    </w:p>
    <w:p>
      <w:r>
        <w:t xml:space="preserve">549,30</w:t>
      </w:r>
    </w:p>
    <w:p>
      <w:r>
        <w:t xml:space="preserve">351 bis 400</w:t>
      </w:r>
    </w:p>
    <w:p>
      <w:r>
        <w:t xml:space="preserve">1,747</w:t>
      </w:r>
    </w:p>
    <w:p>
      <w:r>
        <w:t xml:space="preserve">350</w:t>
      </w:r>
    </w:p>
    <w:p>
      <w:r>
        <w:t xml:space="preserve">636,60</w:t>
      </w:r>
    </w:p>
    <w:p>
      <w:r>
        <w:t xml:space="preserve">401 bis 450</w:t>
      </w:r>
    </w:p>
    <w:p>
      <w:r>
        <w:t xml:space="preserve">1,693</w:t>
      </w:r>
    </w:p>
    <w:p>
      <w:r>
        <w:t xml:space="preserve">400</w:t>
      </w:r>
    </w:p>
    <w:p>
      <w:r>
        <w:t xml:space="preserve">724,00</w:t>
      </w:r>
    </w:p>
    <w:p>
      <w:r>
        <w:t xml:space="preserve">451 bis 500</w:t>
      </w:r>
    </w:p>
    <w:p>
      <w:r>
        <w:t xml:space="preserve">1,693</w:t>
      </w:r>
    </w:p>
    <w:p>
      <w:r>
        <w:t xml:space="preserve">450</w:t>
      </w:r>
    </w:p>
    <w:p>
      <w:r>
        <w:t xml:space="preserve">808,10</w:t>
      </w:r>
    </w:p>
    <w:p>
      <w:r>
        <w:t xml:space="preserve">ab 501</w:t>
      </w:r>
    </w:p>
    <w:p>
      <w:r>
        <w:t xml:space="preserve">1,693</w:t>
      </w:r>
    </w:p>
    <w:p>
      <w:r>
        <w:t xml:space="preserve">500</w:t>
      </w:r>
    </w:p>
    <w:p>
      <w:r>
        <w:t xml:space="preserve">891,10“</w:t>
      </w:r>
    </w:p>
    <w:p>
      <w:r>
        <w:t xml:space="preserve">.</w:t>
      </w:r>
    </w:p>
    <w:p>
      <w:r>
        <w:t xml:space="preserve">b) In Abs. 3 Satz 2 wird das Wort „vier“ durch das Wort „drei“ ersetzt.</w:t>
      </w:r>
    </w:p>
    <w:p>
      <w:r>
        <w:t xml:space="preserve">3. In Art. 32 Abs. 1 Satz 9 wird die Angabe „Satz 5“ durch die Angabe „Satz 6“ ersetzt.</w:t>
      </w:r>
    </w:p>
    <w:p>
      <w:r>
        <w:t xml:space="preserve">4. In Art. 40 Satz 3 wird die Angabe „72 v. H.“ durch die Angabe „75 v. H.“ ersetzt.</w:t>
      </w:r>
    </w:p>
    <w:p>
      <w:r>
        <w:t xml:space="preserve">5. In Art. 47 Abs. 3 wird die Angabe „102,50 €“ durch die Angabe „106 €“ ersetzt.</w:t>
      </w:r>
    </w:p>
    <w:p>
      <w:r>
        <w:rPr>
          <w:color w:val="555555"/>
          <w:sz w:val="17"/>
        </w:rPr>
        <w:t xml:space="preserve">Zitiervorschlag: Art 12 HG 2019/2020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https://recht.nulegal.eu/gesetze/by-BayHG2019_2020--2019/12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12 HG 2019/2020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