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 GSG (Bayern) — Ausnahmen</w:t>
      </w:r>
    </w:p>
    <w:p>
      <w:r>
        <w:rPr>
          <w:color w:val="555555"/>
          <w:sz w:val="18"/>
        </w:rPr>
        <w:t xml:space="preserve">Gesundheitsschutzgesetz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Rauchverbot nach Art. 3 Abs. 1 und 2 gilt nicht:</w:t>
      </w:r>
    </w:p>
    <w:p>
      <w:r>
        <w:t xml:space="preserve">1. in Räumen, die privaten Wohnzwecken dienen und den Bewohnerinnen und Bewohnern und ihren Familien zur alleinigen Nutzung überlassen sind,</w:t>
      </w:r>
    </w:p>
    <w:p>
      <w:r>
        <w:t xml:space="preserve">2. für das Rauchen von Tabakwaren in ausgewiesenen Räumen der Polizeibehörden und der Staatsanwaltschaften, soweit dort Vernehmungen durchgeführt werden und der vernommenen Person das Rauchen von der Leiterin oder dem Leiter der Vernehmung im Einzelfall gestattet wird; Entsprechendes gilt in ausgewiesenen Räumen der Gerichte für Vernehmungen durch die Ermittlungsrichterin oder den Ermittlungsrichter,</w:t>
      </w:r>
    </w:p>
    <w:p>
      <w:r>
        <w:t xml:space="preserve">3. bei künstlerischen Darbietungen, bei denen das Rauchen als Teil der Darbietung Ausdruck der Kunstfreiheit ist,</w:t>
      </w:r>
    </w:p>
    <w:p>
      <w:r>
        <w:t xml:space="preserve">4. in Räumen von Hospiz- und Palliativeinrichtungen, die einzelnen Personen zur gesonderten Unterbringung zugewiesen sind,</w:t>
      </w:r>
    </w:p>
    <w:p>
      <w:r>
        <w:t xml:space="preserve">5. für das Rauchen von Cannabis zu medizinischen Zwecken in dafür bestimmten Räumen von Einrichtungen des Gesundheitswesens.</w:t>
      </w:r>
    </w:p>
    <w:p>
      <w:r>
        <w:rPr>
          <w:color w:val="555555"/>
          <w:sz w:val="17"/>
        </w:rPr>
        <w:t xml:space="preserve">Zitiervorschlag: Art 5 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https://recht.nulegal.eu/gesetze/by-BayGSG--2010/5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 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