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GSG (Bayern) — Anwendungsbereich</w:t>
      </w:r>
    </w:p>
    <w:p>
      <w:r>
        <w:rPr>
          <w:color w:val="555555"/>
          <w:sz w:val="18"/>
        </w:rPr>
        <w:t xml:space="preserve">Gesundheitsschutzgesetz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findet Anwendung auf:</w:t>
      </w:r>
    </w:p>
    <w:p>
      <w:r>
        <w:t xml:space="preserve">1. öffentliche Gebäude:</w:t>
      </w:r>
    </w:p>
    <w:p>
      <w:r>
        <w:t xml:space="preserve">a) Gebäude des Bayerischen Landtags, auch soweit diese von den Fraktionen und Abgeordneten genutzt werden,</w:t>
      </w:r>
    </w:p>
    <w:p>
      <w:r>
        <w:t xml:space="preserve">b) Gebäude der Behörden des Freistaates Bayern, der Gemeinden und der Gemeindeverbände,</w:t>
      </w:r>
    </w:p>
    <w:p>
      <w:r>
        <w:t xml:space="preserve">c) Gebäude der sonstigen der Aufsicht des Freistaates Bayern unterstehenden juristischen Personen des öffentlichen Rechts,</w:t>
      </w:r>
    </w:p>
    <w:p>
      <w:r>
        <w:t xml:space="preserve">d) Gebäude der Gerichte des Freistaates Bayern,</w:t>
      </w:r>
    </w:p>
    <w:p>
      <w:r>
        <w:t xml:space="preserve">2. Einrichtungen für Kinder und Jugendliche:</w:t>
      </w:r>
    </w:p>
    <w:p>
      <w:r>
        <w:t xml:space="preserve">a) Schulen und schulische Einrichtungen,</w:t>
      </w:r>
    </w:p>
    <w:p>
      <w:r>
        <w:t xml:space="preserve">b) Schullandheime,</w:t>
      </w:r>
    </w:p>
    <w:p>
      <w:r>
        <w:t xml:space="preserve">c) Kinderspielplätze,</w:t>
      </w:r>
    </w:p>
    <w:p>
      <w:r>
        <w:t xml:space="preserve">d) Kindertageseinrichtungen,</w:t>
      </w:r>
    </w:p>
    <w:p>
      <w:r>
        <w:t xml:space="preserve">e) sonstige Einrichtungen und Räume, in denen Kinder ganztägig oder für einen Teil des Tages betreut werden, insbesondere Mütterzentren, Tagespflege, Krabbelstuben, Einkaufszentren mit Kinderbetreuungsangebot,</w:t>
      </w:r>
    </w:p>
    <w:p>
      <w:r>
        <w:t xml:space="preserve">f) Jugendherbergen,</w:t>
      </w:r>
    </w:p>
    <w:p>
      <w:r>
        <w:t xml:space="preserve">g) Kultur- und Freizeiteinrichtungen nach Nr. 6, die zumindest überwiegend von Kindern und Jugendlichen genutzt werden und</w:t>
      </w:r>
    </w:p>
    <w:p>
      <w:r>
        <w:t xml:space="preserve">h) sonstige Einrichtungen der Kinder- und Jugendhilfe nach dem Achten Buch Sozialgesetzbuch (SGB VIII),</w:t>
      </w:r>
    </w:p>
    <w:p>
      <w:r>
        <w:t xml:space="preserve">3. Bildungseinrichtungen für Erwachsene,</w:t>
      </w:r>
    </w:p>
    <w:p>
      <w:r>
        <w:t xml:space="preserve">4. Einrichtungen des Gesundheitswesens,</w:t>
      </w:r>
    </w:p>
    <w:p>
      <w:r>
        <w:t xml:space="preserve">5. Heime und Studierendenwohnheime,</w:t>
      </w:r>
    </w:p>
    <w:p>
      <w:r>
        <w:t xml:space="preserve">6. Kultur- und Freizeiteinrichtungen,</w:t>
      </w:r>
    </w:p>
    <w:p>
      <w:r>
        <w:t xml:space="preserve">7. Sportstätten,</w:t>
      </w:r>
    </w:p>
    <w:p>
      <w:r>
        <w:t xml:space="preserve">8. Gaststätten,</w:t>
      </w:r>
    </w:p>
    <w:p>
      <w:r>
        <w:t xml:space="preserve">9. Verkehrsflughäfen.</w:t>
      </w:r>
    </w:p>
    <w:p>
      <w:r>
        <w:rPr>
          <w:color w:val="555555"/>
          <w:sz w:val="17"/>
        </w:rPr>
        <w:t xml:space="preserve">Zitiervorschlag: Art 2 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https://recht.nulegal.eu/gesetze/by-BayGSG--2010/2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