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FachV-Pol/VS (Bayern)</w:t>
      </w:r>
    </w:p>
    <w:p>
      <w:r>
        <w:rPr>
          <w:color w:val="555555"/>
          <w:sz w:val="18"/>
        </w:rPr>
        <w:t xml:space="preserve">Verordnung über die Fachlaufbahn Polizei und Verfassungsschutz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 67 Satz 1 Nrn. 1 und 2 und Art. 68 Abs. 2 des Gesetzes über die Leistungslaufbahn und die Fachlaufbahnen der bayerischen Beamten und Beamtinnen (Leistungslaufbahngesetz – LlbG) vom 5. August 2010 (GVBl S. 410, 571, BayRS 2030-1-4-F) erlässt das Bayerische Staatsministerium des Innern im Einvernehmen mit den Bayerischen Staatsministerien für Wissenschaft, Forschung und Kunst und der Finanzen und dem Bayerischen Landespersonalausschuss folgende Verordnung:</w:t>
      </w:r>
    </w:p>
    <w:p>
      <w:r>
        <w:rPr>
          <w:color w:val="555555"/>
          <w:sz w:val="17"/>
        </w:rPr>
        <w:t xml:space="preserve">Zitiervorschlag: Eingangsformel FachV-Pol/VS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https://recht.nulegal.eu/gesetze/by-BayFachVPol_VS/eingangsformel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FachV-Pol/VS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