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EBV (Bayern)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 Grund von Art. 95 Abs. 4, Art. 123 Abs. 1 Nrn. 9 und 10 der Gemeindeordnung (GO), Art. 82 Abs. 4, Art. 109 Abs. 1 Nrn. 9 und 10 der Landkreisordnung und Art. 80 Abs. 4, Art. 103 Abs. 1 Nrn. 9 und 10 der Bezirksordnung erläßt das Bayerische Staatsministerium des Innern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EBV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https://recht.nulegal.eu/gesetze/by-BayEBV--1987/eingangsformel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