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EBV (Bayern) — Vergabe von Aufträgen</w:t>
      </w:r>
    </w:p>
    <w:p>
      <w:r>
        <w:rPr>
          <w:color w:val="555555"/>
          <w:sz w:val="18"/>
        </w:rPr>
        <w:t xml:space="preserve">Eigenbetriebsverordnung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27.08.2026 (konsolidierte Textfassung, kein amtliches Inkrafttretensdatum)</w:t>
      </w:r>
    </w:p>
    <w:p>
      <w:r>
        <w:t xml:space="preserve">Bei der Vergabe von Aufträgen und dem Abschluss von Verträgen ist nach § 30 KommHV-Doppik (§ 31 KommHV-Kameralistik) zu verfahren.</w:t>
      </w:r>
    </w:p>
    <w:p>
      <w:r>
        <w:rPr>
          <w:color w:val="555555"/>
          <w:sz w:val="17"/>
        </w:rPr>
        <w:t xml:space="preserve">Zitiervorschlag: § 9 EBV (Bayern)</w:t>
      </w:r>
    </w:p>
    <w:p>
      <w:r>
        <w:rPr>
          <w:color w:val="555555"/>
          <w:sz w:val="17"/>
        </w:rPr>
        <w:t xml:space="preserve">Quelle: bayernrecht, abgerufen 27.08.2026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https://recht.nulegal.eu/gesetze/by-BayEBV--1987/9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