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BSO (Bayern)</w:t>
      </w:r>
    </w:p>
    <w:p>
      <w:r>
        <w:rPr>
          <w:color w:val="555555"/>
          <w:sz w:val="18"/>
        </w:rPr>
        <w:t xml:space="preserve">Berufsschulordnung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von Art. 45 Abs. 2 Satz 4, Art. 49 Abs. 1 Satz 2, Art. 89 und 128 Abs. 1 des Bayerischen Gesetzes über das Erziehungs- und Unterrichtswesen (BayEUG) in der Fassung der Bekanntmachung vom 31. Mai 2000 (GVBl. S. 414, ber. S. 632, BayRS 2230-1-1-UK), zuletzt geändert durch Gesetz vom 22. Juli 2008 (GVBl. S. 467), erlässt das Bayerische Staatsministerium für Unterricht und Kultus folgende Verordnung:</w:t>
      </w:r>
    </w:p>
    <w:p>
      <w:r>
        <w:rPr>
          <w:color w:val="555555"/>
          <w:sz w:val="17"/>
        </w:rPr>
        <w:t xml:space="preserve">Zitiervorschlag: Eingangsformel BSO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https://recht.nulegal.eu/gesetze/by-BayBSO--2008/eingangsformel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