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ATV (Bayern) — Ermittlung der biometriebedingten Mehrkosten</w:t>
      </w:r>
    </w:p>
    <w:p>
      <w:r>
        <w:rPr>
          <w:color w:val="555555"/>
          <w:sz w:val="18"/>
        </w:rPr>
        <w:t xml:space="preserve">Tarifvertrag Altersversorgung</w:t>
      </w:r>
    </w:p>
    <w:p>
      <w:r>
        <w:rPr>
          <w:color w:val="555555"/>
          <w:sz w:val="18"/>
        </w:rPr>
        <w:t xml:space="preserve">Landesrecht Bayern</w:t>
      </w:r>
    </w:p>
    <w:p>
      <w:r>
        <w:rPr>
          <w:color w:val="555555"/>
          <w:sz w:val="18"/>
        </w:rPr>
        <w:t xml:space="preserve">Stand: 25.08.2026 (konsolidierte Textfassung, kein amtliches Inkrafttretensdatum)</w:t>
      </w:r>
    </w:p>
    <w:p>
      <w:r>
        <w:t xml:space="preserve">Auf der Grundlage der Berechnungen von AONHewitt im Schreiben vom 7. Januar 2015 werden die Mehrkosten aufgrund der veränderten biometrischen Verhältnisse pauschal ermittelt, indem jeweils folgender Vomhundertsatz auf die Rentenausgaben angewandt wird, die sich in dem Kalenderjahr unter Berücksichtigung der tatsächlichen biometrischen Risikoverhältnisse voraussichtlich ergeben werden:</w:t>
      </w:r>
    </w:p>
    <w:p>
      <w:r>
        <w:t xml:space="preserve">Kalenderjahr</w:t>
      </w:r>
    </w:p>
    <w:p>
      <w:r>
        <w:t xml:space="preserve">Anteil der Mehrkosten aufgrund der veränderten biometrischen Verhältnisse an den voraussichtlichen tatsächlichen Rentenausgaben in v.H.</w:t>
      </w:r>
    </w:p>
    <w:p>
      <w:r>
        <w:t xml:space="preserve">2023</w:t>
      </w:r>
    </w:p>
    <w:p>
      <w:r>
        <w:t xml:space="preserve">4,77</w:t>
      </w:r>
    </w:p>
    <w:p>
      <w:r>
        <w:t xml:space="preserve">2024</w:t>
      </w:r>
    </w:p>
    <w:p>
      <w:r>
        <w:t xml:space="preserve">5,34</w:t>
      </w:r>
    </w:p>
    <w:p>
      <w:r>
        <w:t xml:space="preserve">2025</w:t>
      </w:r>
    </w:p>
    <w:p>
      <w:r>
        <w:t xml:space="preserve">5,93</w:t>
      </w:r>
    </w:p>
    <w:p>
      <w:r>
        <w:t xml:space="preserve">2026</w:t>
      </w:r>
    </w:p>
    <w:p>
      <w:r>
        <w:t xml:space="preserve">6,51</w:t>
      </w:r>
    </w:p>
    <w:p>
      <w:r>
        <w:t xml:space="preserve">2027</w:t>
      </w:r>
    </w:p>
    <w:p>
      <w:r>
        <w:t xml:space="preserve">7,06</w:t>
      </w:r>
    </w:p>
    <w:p>
      <w:r>
        <w:t xml:space="preserve">2028</w:t>
      </w:r>
    </w:p>
    <w:p>
      <w:r>
        <w:t xml:space="preserve">7,63</w:t>
      </w:r>
    </w:p>
    <w:p>
      <w:r>
        <w:t xml:space="preserve">2029</w:t>
      </w:r>
    </w:p>
    <w:p>
      <w:r>
        <w:t xml:space="preserve">8,16</w:t>
      </w:r>
    </w:p>
    <w:p>
      <w:r>
        <w:t xml:space="preserve">2030</w:t>
      </w:r>
    </w:p>
    <w:p>
      <w:r>
        <w:t xml:space="preserve">8,67</w:t>
      </w:r>
    </w:p>
    <w:p>
      <w:r>
        <w:t xml:space="preserve">2031</w:t>
      </w:r>
    </w:p>
    <w:p>
      <w:r>
        <w:t xml:space="preserve">9,17</w:t>
      </w:r>
    </w:p>
    <w:p>
      <w:r>
        <w:t xml:space="preserve">2032</w:t>
      </w:r>
    </w:p>
    <w:p>
      <w:r>
        <w:t xml:space="preserve">9,63</w:t>
      </w:r>
    </w:p>
    <w:p>
      <w:r>
        <w:t xml:space="preserve">2033</w:t>
      </w:r>
    </w:p>
    <w:p>
      <w:r>
        <w:t xml:space="preserve">10,10</w:t>
      </w:r>
    </w:p>
    <w:p>
      <w:r>
        <w:t xml:space="preserve">2034</w:t>
      </w:r>
    </w:p>
    <w:p>
      <w:r>
        <w:t xml:space="preserve">10,57</w:t>
      </w:r>
    </w:p>
    <w:p>
      <w:r>
        <w:t xml:space="preserve">2035</w:t>
      </w:r>
    </w:p>
    <w:p>
      <w:r>
        <w:t xml:space="preserve">11,08</w:t>
      </w:r>
    </w:p>
    <w:p>
      <w:r>
        <w:t xml:space="preserve">2036</w:t>
      </w:r>
    </w:p>
    <w:p>
      <w:r>
        <w:t xml:space="preserve">11,59</w:t>
      </w:r>
    </w:p>
    <w:p>
      <w:r>
        <w:t xml:space="preserve">2037</w:t>
      </w:r>
    </w:p>
    <w:p>
      <w:r>
        <w:t xml:space="preserve">12,14</w:t>
      </w:r>
    </w:p>
    <w:p>
      <w:r>
        <w:t xml:space="preserve">2038</w:t>
      </w:r>
    </w:p>
    <w:p>
      <w:r>
        <w:t xml:space="preserve">12,67</w:t>
      </w:r>
    </w:p>
    <w:p>
      <w:r>
        <w:t xml:space="preserve">2039</w:t>
      </w:r>
    </w:p>
    <w:p>
      <w:r>
        <w:t xml:space="preserve">13,12</w:t>
      </w:r>
    </w:p>
    <w:p>
      <w:r>
        <w:t xml:space="preserve">2040</w:t>
      </w:r>
    </w:p>
    <w:p>
      <w:r>
        <w:t xml:space="preserve">13,62</w:t>
      </w:r>
    </w:p>
    <w:p>
      <w:r>
        <w:t xml:space="preserve">2041</w:t>
      </w:r>
    </w:p>
    <w:p>
      <w:r>
        <w:t xml:space="preserve">14,06</w:t>
      </w:r>
    </w:p>
    <w:p>
      <w:r>
        <w:t xml:space="preserve">2042</w:t>
      </w:r>
    </w:p>
    <w:p>
      <w:r>
        <w:t xml:space="preserve">14,47</w:t>
      </w:r>
    </w:p>
    <w:p>
      <w:r>
        <w:t xml:space="preserve">2043</w:t>
      </w:r>
    </w:p>
    <w:p>
      <w:r>
        <w:t xml:space="preserve">14,86</w:t>
      </w:r>
    </w:p>
    <w:p>
      <w:r>
        <w:t xml:space="preserve">2044</w:t>
      </w:r>
    </w:p>
    <w:p>
      <w:r>
        <w:t xml:space="preserve">15,21</w:t>
      </w:r>
    </w:p>
    <w:p>
      <w:r>
        <w:t xml:space="preserve">2045</w:t>
      </w:r>
    </w:p>
    <w:p>
      <w:r>
        <w:t xml:space="preserve">15,49</w:t>
      </w:r>
    </w:p>
    <w:p>
      <w:r>
        <w:t xml:space="preserve">2046</w:t>
      </w:r>
    </w:p>
    <w:p>
      <w:r>
        <w:t xml:space="preserve">15,75</w:t>
      </w:r>
    </w:p>
    <w:p>
      <w:r>
        <w:t xml:space="preserve">2047</w:t>
      </w:r>
    </w:p>
    <w:p>
      <w:r>
        <w:t xml:space="preserve">15,99</w:t>
      </w:r>
    </w:p>
    <w:p>
      <w:r>
        <w:t xml:space="preserve">2048</w:t>
      </w:r>
    </w:p>
    <w:p>
      <w:r>
        <w:t xml:space="preserve">16,17</w:t>
      </w:r>
    </w:p>
    <w:p>
      <w:r>
        <w:t xml:space="preserve">2049</w:t>
      </w:r>
    </w:p>
    <w:p>
      <w:r>
        <w:t xml:space="preserve">16,30</w:t>
      </w:r>
    </w:p>
    <w:p>
      <w:r>
        <w:t xml:space="preserve">2050</w:t>
      </w:r>
    </w:p>
    <w:p>
      <w:r>
        <w:t xml:space="preserve">16,42</w:t>
      </w:r>
    </w:p>
    <w:p>
      <w:r>
        <w:t xml:space="preserve">2051</w:t>
      </w:r>
    </w:p>
    <w:p>
      <w:r>
        <w:t xml:space="preserve">16,48</w:t>
      </w:r>
    </w:p>
    <w:p>
      <w:r>
        <w:t xml:space="preserve">2052</w:t>
      </w:r>
    </w:p>
    <w:p>
      <w:r>
        <w:t xml:space="preserve">16,52</w:t>
      </w:r>
    </w:p>
    <w:p>
      <w:r>
        <w:t xml:space="preserve">2053</w:t>
      </w:r>
    </w:p>
    <w:p>
      <w:r>
        <w:t xml:space="preserve">16,59</w:t>
      </w:r>
    </w:p>
    <w:p>
      <w:r>
        <w:t xml:space="preserve">ab 2054</w:t>
      </w:r>
    </w:p>
    <w:p>
      <w:r>
        <w:t xml:space="preserve">16,60</w:t>
      </w:r>
    </w:p>
    <w:p>
      <w:r>
        <w:rPr>
          <w:color w:val="555555"/>
          <w:sz w:val="17"/>
        </w:rPr>
        <w:t xml:space="preserve">Zitiervorschlag: Anlage 6 ATV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https://recht.nulegal.eu/gesetze/by-ATV--2002/anlage-6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