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5 ATV (Bayern) — Altersvorsorgeplan 2001</w:t>
      </w:r>
    </w:p>
    <w:p>
      <w:r>
        <w:rPr>
          <w:color w:val="555555"/>
          <w:sz w:val="18"/>
        </w:rPr>
        <w:t xml:space="preserve">Tarifvertrag Altersversorgung</w:t>
      </w:r>
    </w:p>
    <w:p>
      <w:r>
        <w:rPr>
          <w:color w:val="555555"/>
          <w:sz w:val="18"/>
        </w:rPr>
        <w:t xml:space="preserve">Landesrecht Bayern</w:t>
      </w:r>
    </w:p>
    <w:p>
      <w:r>
        <w:rPr>
          <w:color w:val="555555"/>
          <w:sz w:val="18"/>
        </w:rPr>
        <w:t xml:space="preserve">Stand: 25.08.2026 (konsolidierte Textfassung, kein amtliches Inkrafttretensdatum)</w:t>
      </w:r>
    </w:p>
    <w:p>
      <w:r>
        <w:t xml:space="preserve">Dieser Tarifvertrag gilt einheitlich für die Tarifgebiete Ost und West.</w:t>
      </w:r>
    </w:p>
    <w:p>
      <w:r>
        <w:t xml:space="preserve">1.</w:t>
      </w:r>
    </w:p>
    <w:p>
      <w:r>
        <w:t xml:space="preserve">Ablösung des Gesamtversorgungssystems</w:t>
      </w:r>
    </w:p>
    <w:p>
      <w:r>
        <w:t xml:space="preserve">1.1</w:t>
      </w:r>
    </w:p>
    <w:p>
      <w:r>
        <w:t xml:space="preserve">Das bisherige Gesamtversorgungssystem wird mit Ablauf des 31.12.2000 geschlossen und durch das Punktemodell ersetzt. Zur juristischen Bewertung vgl. Anlage 1.</w:t>
      </w:r>
    </w:p>
    <w:p>
      <w:r>
        <w:t xml:space="preserve">1.2</w:t>
      </w:r>
    </w:p>
    <w:p>
      <w:r>
        <w:t xml:space="preserve">Auf ein Zurückfallen der Renten und Anwartschaften auf den Stand des Jahres 2000 wird verzichtet.</w:t>
      </w:r>
    </w:p>
    <w:p>
      <w:r>
        <w:t xml:space="preserve">1.3</w:t>
      </w:r>
    </w:p>
    <w:p>
      <w:r>
        <w:t xml:space="preserve">Durch den Systemwechsel erhalten die Arbeitnehmer die Möglichkeit, eine zusätzliche kapitalgedeckte Altersversorgung durch eigene Beiträge unter Inanspruchnahme der steuerlichen Förderung aufzubauen (Riester-Rente). Diese Möglichkeit soll auch bei den Zusatzversorgungskassen eröffnet werden.</w:t>
      </w:r>
    </w:p>
    <w:p>
      <w:r>
        <w:t xml:space="preserve">Die Möglichkeit der Entgeltumwandlung besteht derzeit – einheitlich für alle Arbeitnehmer – nicht; die Tarifvertragsparteien geben sich eine Verhandlungszusage für eine tarifvertragliche Regelung zur Entgeltumwandlung.</w:t>
      </w:r>
    </w:p>
    <w:p>
      <w:r>
        <w:t xml:space="preserve">1.4</w:t>
      </w:r>
    </w:p>
    <w:p>
      <w:r>
        <w:t xml:space="preserve">Die Umlagefinanzierung wird auch nach Systemwechsel beibehalten. Sie kann schrittweise nach den Möglichkeiten der einzelnen Zusatzversorgungskassen durch Kapitaldeckung abgelöst werden (Kombinationsmodell).</w:t>
      </w:r>
    </w:p>
    <w:p>
      <w:r>
        <w:t xml:space="preserve">2.</w:t>
      </w:r>
    </w:p>
    <w:p>
      <w:r>
        <w:t xml:space="preserve">Punktemodell</w:t>
      </w:r>
    </w:p>
    <w:p>
      <w:r>
        <w:t xml:space="preserve">2.1</w:t>
      </w:r>
    </w:p>
    <w:p>
      <w:r>
        <w:t xml:space="preserve">Die Leistungsbemessung erfolgt nach dem Punktemodell. Es werden diejenigen Leistungen zugesagt, die sich ergeben würden, wenn eine Gesamt-Beitragsleistung von 4 v.H. vollständig in ein kapitalgedecktes System eingezahlt würde.</w:t>
      </w:r>
    </w:p>
    <w:p>
      <w:r>
        <w:t xml:space="preserve">2.2</w:t>
      </w:r>
    </w:p>
    <w:p>
      <w:r>
        <w:t xml:space="preserve">Soweit eine Kapitaldeckung vorhanden ist, werden die tatsächlich erzielten Kapitalerträge veranschlagt.</w:t>
      </w:r>
    </w:p>
    <w:p>
      <w:r>
        <w:t xml:space="preserve">Soweit keine Kapitaldeckung vorhanden ist, wird jährlich die laufende Verzinsung der zehn größten Pensionskassen gemäß jeweils aktuellem Geschäftsbericht des Bundesaufsichtsamtes für das Versicherungswesen (bzw. Nachfolgeeinrichtung) zugrunde gelegt.</w:t>
      </w:r>
    </w:p>
    <w:p>
      <w:r>
        <w:t xml:space="preserve">Überschüsse werden wie bei einer Pensionskasse festgestellt. Von diesen Überschüssen werden nach Abzug der Verwaltungskosten (soweit fiktiv: 2 v.H.) vorrangig die sozialen Komponenten und dann Bonuspunkte finanziert.</w:t>
      </w:r>
    </w:p>
    <w:p>
      <w:r>
        <w:t xml:space="preserve">Soziale Komponenten sind:</w:t>
      </w:r>
    </w:p>
    <w:p>
      <w:r>
        <w:t xml:space="preserve">a) Zurechnungszeiten bei Erwerbsminderungs- und Hinterbliebenenrenten (vgl. Textziffer 2.5)</w:t>
      </w:r>
    </w:p>
    <w:p>
      <w:r>
        <w:t xml:space="preserve">b) Kindererziehungszeiten</w:t>
      </w:r>
    </w:p>
    <w:p>
      <w:r>
        <w:t xml:space="preserve">Berücksichtigung eines Beitrages von 20 Euro pro Monat pro Kind für die Dauer der gesetzlichen Erziehungszeit (ohne Beschäftigung).</w:t>
      </w:r>
    </w:p>
    <w:p>
      <w:r>
        <w:t xml:space="preserve">c) Übergangsregelung für alle Versicherten mit einer Mindestpflichtversicherungszeit von 20 Jahren die monatlich weniger als 3600 DM brutto verdienen. Ihre erworbenen Anwartschaften werden festgestellt und ggf. auf mindestens 0,8 Versorgungspunkte für jedes volle Kalenderjahr der Pflichtversicherung angehoben (Einbeziehung des Beschäftigungsquotienten).</w:t>
      </w:r>
    </w:p>
    <w:p>
      <w:r>
        <w:t xml:space="preserve">2.3</w:t>
      </w:r>
    </w:p>
    <w:p>
      <w:r>
        <w:t xml:space="preserve">Die als Anlage beigefügte Tabelle kommt zur Anwendung. Diese Tabelle basiert auf folgenden Parametern:</w:t>
      </w:r>
    </w:p>
    <w:p>
      <w:r>
        <w:t xml:space="preserve">Ein Zinssatz entsprechend § 2 der Deckungsrückstellungsverordnung von derzeit 3,25 v.H. vor Eintritt des Versorgungsfalls wird zugrunde gelegt. Nach Eintritt des Versorgungsfalls gilt ein Zinssatz von 5,25 v.H. Bei Änderungen des Verordnungs-Zinssatzes gilt dieser bis zum Wirksamwerden einer entsprechenden tarifvertraglichen Anpassung fort. Die versicherungsmathematischen Berechnungen basieren auf den Richttafeln 1998 von Klaus Heubeck.</w:t>
      </w:r>
    </w:p>
    <w:p>
      <w:r>
        <w:t xml:space="preserve">2.4</w:t>
      </w:r>
    </w:p>
    <w:p>
      <w:r>
        <w:t xml:space="preserve">Die Versicherungsfälle entsprechen denen in der gesetzlichen Rentenversicherung (Altersrenten, Erwerbsminderungsrenten, Hinterbliebenenrenten). Bei teilweiser Erwerbsminderung wird die Hälfte des Betrages gezahlt, der bei voller Erwerbsminderung zustünde.</w:t>
      </w:r>
    </w:p>
    <w:p>
      <w:r>
        <w:t xml:space="preserve">Abschläge werden für jeden Monat der vorzeitigen Inanspruchnahme der Rente (wie gesetzliche Rentenversicherung) in Höhe von 0,3 v.H. erhoben; höchstens jedoch insgesamt 10,8 v.H.</w:t>
      </w:r>
    </w:p>
    <w:p>
      <w:r>
        <w:t xml:space="preserve">2.5</w:t>
      </w:r>
    </w:p>
    <w:p>
      <w:r>
        <w:t xml:space="preserve">Bei Erwerbsminderungs- und Hinterbliebenenrenten vor Vollendung des 60. Lebensjahres werden Versorgungspunkte hinzugerechnet. Für ein Referenzentgelt wird für jedes Kalenderjahr vor Vollendung des 60. Lebensjahres je ein Versorgungspunkt hinzugerechnet.</w:t>
      </w:r>
    </w:p>
    <w:p>
      <w:r>
        <w:t xml:space="preserve">2.6</w:t>
      </w:r>
    </w:p>
    <w:p>
      <w:r>
        <w:t xml:space="preserve">Von den Verpflichtungen zur Beitragszahlung in der Textziffer 2.1 dieses Tarifvertrages kann bis zu einer Mindesthöhe von zwei v.H. für die Dauer von bis zu drei Jahren im Rahmen eines landesbezirklichen Tarifvertrages abgewichen werden, wenn sich der Betrieb in einer wirtschaftlichen Notlage befindet. Die Feststellung der wirtschaftlichen Notlage wird durch eine paritätisch besetzte Kommission der Tarifvertragsparteien getroffen.</w:t>
      </w:r>
    </w:p>
    <w:p>
      <w:r>
        <w:t xml:space="preserve">Die Regelung kann verlängert werden.</w:t>
      </w:r>
    </w:p>
    <w:p>
      <w:r>
        <w:t xml:space="preserve">2.7</w:t>
      </w:r>
    </w:p>
    <w:p>
      <w:r>
        <w:t xml:space="preserve">Entgelte aus Altersteilzeit werden in Höhe des vereinbarten Entgelts mindestens jedoch mit 90 v.H. des vor Beginn der Altersteilzeit maßgebenden Wertes berücksichtigt (wie nach bisherigem Recht). Fälle des Vorruhestandes werden wie nach altem Recht behandelt.</w:t>
      </w:r>
    </w:p>
    <w:p>
      <w:r>
        <w:t xml:space="preserve">3.</w:t>
      </w:r>
    </w:p>
    <w:p>
      <w:r>
        <w:t xml:space="preserve">Übergangsrecht</w:t>
      </w:r>
    </w:p>
    <w:p>
      <w:r>
        <w:t xml:space="preserve">3.1</w:t>
      </w:r>
    </w:p>
    <w:p>
      <w:r>
        <w:t xml:space="preserve">Die Höhe der laufenden Renten und der Ausgleichsbeträge wird zum 31.12.2001 festgestellt.</w:t>
      </w:r>
    </w:p>
    <w:p>
      <w:r>
        <w:t xml:space="preserve">3.2</w:t>
      </w:r>
    </w:p>
    <w:p>
      <w:r>
        <w:t xml:space="preserve">Die laufenden Renten werden als Besitzstandsrenten weitergezahlt. Die abbaubaren Ausgleichsbeträge werden in Höhe des Dynamisierungsgewinns abgebaut.</w:t>
      </w:r>
    </w:p>
    <w:p>
      <w:r>
        <w:t xml:space="preserve">3.3</w:t>
      </w:r>
    </w:p>
    <w:p>
      <w:r>
        <w:t xml:space="preserve">Die Besitzstandsrenten und die Neurenten werden beginnend mit dem Jahr 2002 jeweils zum 1. 7. eines Jahres bis 2007 mit 1 v.H. jährlich dynamisiert.</w:t>
      </w:r>
    </w:p>
    <w:p>
      <w:r>
        <w:t xml:space="preserve">3.4</w:t>
      </w:r>
    </w:p>
    <w:p>
      <w:r>
        <w:t xml:space="preserve">Die Anwartschaften der am 31.12.2001 schon und am 1.1.2002 noch pflichtversicherten Arbeitnehmer werden wie folgt berechnet:</w:t>
      </w:r>
    </w:p>
    <w:p>
      <w:r>
        <w:t xml:space="preserve">3.4.1</w:t>
      </w:r>
    </w:p>
    <w:p>
      <w:r>
        <w:t xml:space="preserve">Es gelten die Berechnungsvorgaben des § 18 Abs. 2 BetrAVG. Der danach festgestellte Betrag wird in Versorgungspunkte unter Berücksichtigung eines Zinssatzes von 3,25 umgerechnet und in das Punktemodell transferiert. Die transferierten Versorgungspunkte nehmen an der Dynamisierung nach Ziffer 2.2 teil.</w:t>
      </w:r>
    </w:p>
    <w:p>
      <w:r>
        <w:t xml:space="preserve">3.4.2</w:t>
      </w:r>
    </w:p>
    <w:p>
      <w:r>
        <w:t xml:space="preserve">Für Arbeitnehmer im Tarifgebiet West, die am 1.1.2002 das 55. Lebensjahr vollendet haben (rentennahe Jahrgänge), gilt folgende Besitzstandsregelung: Auf der Grundlage des am 31.12.2000 geltenden Rechts der Zusatzversorgung ist Ausgangswert für die Bemessung des in das Punktemodell zu transferierenden Betrages die individuell bestimmte Versorgungsrente im Alter von 63 (bei Behinderten Alter entsprechend gesetzlicher Rentenversicherung) unter Berücksichtigung der Mindestgesamtversorgung und des § 44a VBL-Satzung bzw. entsprechende Versorgungsregelung; die gesetzliche Rente ist nach persönlichen Daten anzurechnen; von diesem nach den Bemessungsgrößen per 31.12.2001 einmalig ermittelten Ausgangswert ist die aus dem Punktemodell noch zu erwerbende Betriebsrente abzuziehen; die Differenz ist die Besitzstandsrente; sie wird in Versorgungspunkte umgerechnet und in das Punktemodell transferiert.</w:t>
      </w:r>
    </w:p>
    <w:p>
      <w:r>
        <w:t xml:space="preserve">3.4.3</w:t>
      </w:r>
    </w:p>
    <w:p>
      <w:r>
        <w:t xml:space="preserve">Textziffer 3.4.2 gilt entsprechend für solche Arbeitnehmer, die im Jahre 2001 das 55. Lebensjahr vollendet und vor Inkrafttreten des Tarifvertrages Altersteilzeit bzw. Vorruhestand vereinbart haben.</w:t>
      </w:r>
    </w:p>
    <w:p>
      <w:r>
        <w:t xml:space="preserve">3.5</w:t>
      </w:r>
    </w:p>
    <w:p>
      <w:r>
        <w:t xml:space="preserve">Die im bisherigen Versorgungssystem erworbenen Anwartschaften von Arbeitnehmern, die am 1.1.2002 nicht mehr pflichtversichert sind und die eine unverfallbare Anwartschaft haben, werden entsprechend der bisherigen Versicherungsrentenberechnung festgestellt, transferiert und nicht dynamisiert.</w:t>
      </w:r>
    </w:p>
    <w:p>
      <w:r>
        <w:t xml:space="preserve">4.</w:t>
      </w:r>
    </w:p>
    <w:p>
      <w:r>
        <w:t xml:space="preserve">Finanzierung</w:t>
      </w:r>
    </w:p>
    <w:p>
      <w:r>
        <w:t xml:space="preserve">4.1</w:t>
      </w:r>
    </w:p>
    <w:p>
      <w:r>
        <w:t xml:space="preserve">Jede Kasse regelt ihre Finanzierung selbst.</w:t>
      </w:r>
    </w:p>
    <w:p>
      <w:r>
        <w:t xml:space="preserve">Zusätzlicher Finanzbedarf über die tatsächliche Umlage des Jahres 2001 hinaus (Stichtag 1.11.2001) – mindestens jedoch ab Umlagesatz von 4 v.H. – wird durch steuerfreie, pauschale Sanierungsgelder gedeckt.</w:t>
      </w:r>
    </w:p>
    <w:p>
      <w:r>
        <w:t xml:space="preserve">Im Tarifgebiet West verbleibt es bei den von den Arbeitnehmern bei Zusatzversorgungskassen geleisteten Beiträgen.</w:t>
      </w:r>
    </w:p>
    <w:p>
      <w:r>
        <w:t xml:space="preserve">4.2</w:t>
      </w:r>
    </w:p>
    <w:p>
      <w:r>
        <w:t xml:space="preserve">Für die VBL-West gilt:</w:t>
      </w:r>
    </w:p>
    <w:p>
      <w:r>
        <w:t xml:space="preserve">Ab 2002 betragen die Belastungen der Arbeitgeber 8,45 v.H. Dies teilt sich auf in eine steuerpflichtige, mit 180 DM/Monat pauschal versteuerte Umlage von 6,45 v.H. und steuerfreie pauschale Sanierungsgelder von 2,0 v.H., die zur Deckung eines Fehlbetrages im Zeitpunkt der Schließung dienen sollen.</w:t>
      </w:r>
    </w:p>
    <w:p>
      <w:r>
        <w:t xml:space="preserve">Ab 2002 beträgt der aus versteuertem Einkommen zu entrichtende Umlagebeitrag der Arbeitnehmer 1,41 v.H.</w:t>
      </w:r>
    </w:p>
    <w:p>
      <w:r>
        <w:t xml:space="preserve">4.3</w:t>
      </w:r>
    </w:p>
    <w:p>
      <w:r>
        <w:t xml:space="preserve">Die Verteilung der Sanierungsgelder auf Arbeitgeberseite bestimmt sich nach dem Verhältnis der Entgeltsumme aller Pflichtversicherten zuzüglich der neunfachen Rentensumme aller Renten zu den entsprechenden Werten, die einem Arbeitgeberverband bzw. bei Verbandsfreien, dem einzelnen Arbeitgeber zuzurechnen sind; ist ein verbandsfreier Arbeitgeber einer Gebietskörperschaft mittelbar oder haushaltsmäßig im Wesentlichen zuzuordnen, wird dieser bei der Gebietskörperschaft einbezogen.</w:t>
      </w:r>
    </w:p>
    <w:p>
      <w:r>
        <w:t xml:space="preserve">Arbeitgebern, die seit dem 1. November 2001 durch Ausgliederung entstanden sind, sind zur Feststellung der Verteilung der Sanierungszuschüsse Renten in dem Verhältnis zuzurechnen, das dem Verhältnis der Zahl der Pflichtversicherten des Ausgegliederten zu der Zahl der Pflichtversicherten des Ausgliedernden zum 1.11.2001 entspricht.</w:t>
      </w:r>
    </w:p>
    <w:p>
      <w:r>
        <w:t xml:space="preserve">4.4</w:t>
      </w:r>
    </w:p>
    <w:p>
      <w:r>
        <w:t xml:space="preserve">Bei abnehmendem Finanzierungsbedarf für die laufenden Ausgaben werden die übersteigenden Einnahmen – getrennt und individualisierbar – zum Aufbau einer Kapitaldeckung eingesetzt.</w:t>
      </w:r>
    </w:p>
    <w:p>
      <w:r>
        <w:t xml:space="preserve">5.</w:t>
      </w:r>
    </w:p>
    <w:p>
      <w:r>
        <w:t xml:space="preserve">Die Tarifvertragsparteien gehen davon aus, dass mit diesem Tarifvertrag das Abwandern von Betrieben oder Betriebsteilen aus den Zusatzversorgungseinrichtungen des öffentlichen Dienstes verhindert wird.</w:t>
      </w:r>
    </w:p>
    <w:p>
      <w:r>
        <w:t xml:space="preserve">Während der Laufzeit des Tarifvertrages überprüfen die Tarifvertragsparteien, ob es zu signifikanten Abwanderungen aus einzelnen Zusatzversorgungseinrichtungen gekommen ist. Sie beauftragen einen Gutachter, die Gründe für eventuelle Abwanderungen darzustellen. Dies gilt auch für den Tarifvertrag über sozialverträgliche Begleitmaßnahmen im Zusammenhang mit der Umgestaltung der Bundeswehr.</w:t>
      </w:r>
    </w:p>
    <w:p>
      <w:r>
        <w:t xml:space="preserve">6.</w:t>
      </w:r>
    </w:p>
    <w:p>
      <w:r>
        <w:t xml:space="preserve">Laufzeit des Tarifvertrages bis zum 31.12.2007.</w:t>
      </w:r>
    </w:p>
    <w:p>
      <w:r>
        <w:rPr>
          <w:color w:val="555555"/>
          <w:sz w:val="17"/>
        </w:rPr>
        <w:t xml:space="preserve">Zitiervorschlag: Anlage 5 ATV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https://recht.nulegal.eu/gesetze/by-ATV--2002/anlage-5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