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ATV (Bayern) — Versicherungsfall und Rentenbeginn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Versicherungsfall tritt am Ersten des Monats ein, von dem an der Anspruch auf gesetzliche Rente wegen Alters als Vollrente bzw. wegen teilweiser oder voller Erwerbsminderung besteht. Der Anspruch ist durch Bescheid des Trägers der gesetzlichen Rentenversicherung nachzuweisen.</w:t>
      </w:r>
    </w:p>
    <w:p>
      <w:r>
        <w:t xml:space="preserve">Den in der gesetzlichen Rentenversicherung Pflichtversicherten, bei denen der Versicherungsfall nach Satz 1 eingetreten ist und die die Wartezeit nach § 6 erfüllt haben, wird auf ihren schriftlichen Antrag von der Zusatzversorgungseinrichtung eine Betriebsrente gezahlt. Die Betriebsrente beginnt – vorbehaltlich des § 12 – mit dem Beginn der Rente aus der gesetzlichen Rentenversicherung.</w:t>
      </w:r>
    </w:p>
    <w:p>
      <w:r>
        <w:rPr>
          <w:color w:val="555555"/>
          <w:sz w:val="17"/>
        </w:rPr>
        <w:t xml:space="preserve">Zitiervorschlag: § 5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