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ATV (Bayern) — In-Kraft-Treten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mit Wirkung vom 1. Januar 2001 in Kraft. Abweichend von Satz 1 tritt § 2 Abs. 2 am 1. Januar 2003 mit der Maßgabe in Kraft, dass er nur für nach dem 31. Dezember 2002 begründete Arbeitsverhältnisse Anwendung findet.</w:t>
      </w:r>
    </w:p>
    <w:p>
      <w:r>
        <w:t xml:space="preserve">(2) Dieser Tarifvertrag kann jederzeit schriftlich mit einer Frist von drei Monaten zum Monatsende gekündigt werden, frühestens jedoch zum 30. Juni 2026. Abweichend von Satz 1 kann dieser Tarifvertrag von und gegenüber der TdL mit einer Frist von drei Monaten zum Monatsende gekündigt werden, frühestens jedoch zum 31. Dezember 2024.</w:t>
      </w:r>
    </w:p>
    <w:p>
      <w:r>
        <w:t xml:space="preserve">(3) Mit dem In-Kraft-Treten dieses Tarifvertrages treten – unbeschadet des § 36 – außer Kraft der</w:t>
      </w:r>
    </w:p>
    <w:p>
      <w:r>
        <w:t xml:space="preserve">a) Tarifvertrag über die Versorgung der Arbeitnehmer des Bundes und der Länder sowie von Arbeitnehmern kommunaler Verwaltungen und Betriebe (Versorgungs-TV) vom 4. November 1966,</w:t>
      </w:r>
    </w:p>
    <w:p>
      <w:r>
        <w:t xml:space="preserve">b) Tarifvertrag über die Versorgung der Arbeitnehmer des Saarlandes und der Mitglieder des Kommunalen Arbeitgeberverbandes e.V. Saar (VersTV-Saar) vom 15. November 1966.</w:t>
      </w:r>
    </w:p>
    <w:p>
      <w:r>
        <w:t xml:space="preserve">(4) Soweit vorstehend keine Regelung getroffen ist, findet der als Anlage 5 beigefügte Altersvorsorgeplan 2001 vom 13. November 2001 mit seinen Anlagen Anwendung (einschließlich des Ausschlusses der Entgeltumwandlung und der Verhandlungszusage nach 1.3).</w:t>
      </w:r>
    </w:p>
    <w:p>
      <w:r>
        <w:rPr>
          <w:color w:val="555555"/>
          <w:sz w:val="17"/>
        </w:rPr>
        <w:t xml:space="preserve">Zitiervorschlag: § 40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