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ATV (Bayern) — Überleitung der Versicherung</w:t>
      </w:r>
    </w:p>
    <w:p>
      <w:r>
        <w:rPr>
          <w:color w:val="555555"/>
          <w:sz w:val="18"/>
        </w:rPr>
        <w:t xml:space="preserve">Tarifvertrag Altersversorgung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Beschäftigten, die bei einer anderen Zusatzversorgungseinrichtung versichert sind, von der die Versicherung übergeleitet wird, sind verpflichtet, die Überleitung der Versicherung auf die für ihren Arbeitgeber zuständige Zusatzversorgungseinrichtung zu beantragen, es sei denn, dass bei der anderen Zusatzversorgungseinrichtung Pflicht zur Versicherung besteht oder auch bei Überleitung der Versicherung keine Pflicht zur Versicherung bei der für ihren Arbeitgeber zuständigen Zusatzversorgungseinrichtung entstünde. Das Gleiche gilt für die Beschäftigten, die gegen eine in Satz 1 genannte Zusatzversorgungseinrichtung Anspruch auf Rente haben und zwar auch dann, wenn diese Zusatzversorgungseinrichtung die Rente weiter gewährt.</w:t>
      </w:r>
    </w:p>
    <w:p>
      <w:r>
        <w:t xml:space="preserve">(2) Werden Beschäftigte als Arbeiterinnen/Arbeiter der Wasser- und Schifffahrtsverwaltung des Bundes oder bei der Häfen- und Schifffahrtsverwaltung des Landes Niedersachsen oder bei der Wasserwirtschaftsverwaltung eines Landes eingestellt und bei der Bahnversicherungsanstalt Abteilung B versicherungspflichtig, sind sie verpflichtet, die Überleitung der Versicherung von der für ihren bisherigen Arbeitgeber zuständigen Zusatzversorgungseinrichtung auf die Bahnversicherungsanstalt Abteilung B zu beantragen, wenn ein entsprechendes Überleitungsabkommen besteht.</w:t>
      </w:r>
    </w:p>
    <w:p>
      <w:r>
        <w:rPr>
          <w:color w:val="555555"/>
          <w:sz w:val="17"/>
        </w:rPr>
        <w:t xml:space="preserve">Zitiervorschlag: § 4 ATV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https://recht.nulegal.eu/gesetze/by-ATV--2002/4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