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ATV (Bayern) — Sonderregelungen für das zusatzversorgungspflichtige Entgelt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Bund und TdL gilt für pflichtversicherte Beschäftigte und für freiwillig versicherte Beschäftigte mit wissenschaftlicher Tätigkeit (§ 2 Absatz 2) Folgendes: Soweit das monatliche zusatzversorgungspflichtige Entgelt den Grenzbetrag nach Satz 2 übersteigt, hat der Arbeitgeber ab 1. Januar 2002 im Rahmen der freiwilligen Versicherung nach § 26 Abs. 3 Satz 1 einen Beitrag von acht v.H. des übersteigenden Betrages an die Zusatzversorgungseinrichtung zu zahlen. Grenzbetrag ist das 1,181-fache des Betrages der Entgeltgruppe 15 Stufe 5 TVöD/Bund Tarifgebiet West bzw. Tarifgebiet Ost – jährlich einmal einschließlich der Jahressonderzahlung, wenn die/der Beschäftigte eine zusatzversorgungspflichtige Jahressonderzahlung erhält. Die Sätze 1 und 2 gelten nur für Beschäftigte, für die keine zusätzliche Umlage nach Absatz 2 zu entrichten ist.</w:t>
      </w:r>
    </w:p>
    <w:p>
      <w:r>
        <w:t xml:space="preserve">(2) Für Beschäftigte, für die im Dezember 2001 schon und für Januar 2002 noch eine zusätzliche Umlage nach § 29 Abs. 4 VBL-Satzung a.F. gezahlt wurde, gilt Folgendes: Soweit das monatliche zusatzversorgungspflichtige Entgelt den Grenzbetrag nach Satz 3 übersteigt, ist in diesem Arbeitsverhältnis zusätzlich eine Umlage von neun v.H. des übersteigenden Betrages zu zahlen. Die sich daraus ergebenden Versorgungspunkte sind zu verdreifachen. Grenzbetrag ist das 1,133-fache des Betrages der Entgeltgruppe 15 Stufe 6 TVöD/VKA Tarifgebiet West bzw. Tarifgebiet Ost – jährlich einmal einschließlich der Jahressonderzahlung, wenn die/der Beschäftigte eine zusatzversorgungspflichtige Jahressonderzahlung erhält.</w:t>
      </w:r>
    </w:p>
    <w:p>
      <w:r>
        <w:t xml:space="preserve">Protokollnotiz:</w:t>
      </w:r>
    </w:p>
    <w:p>
      <w:r>
        <w:t xml:space="preserve">Bei Beschäftigten im Tarifgebiet Ost, für die der Umlagesatz des Abrechnungsverbandes West der VBL maßgeblich ist, sind bei Erhebung des Beitrags nach Absatz 1 und der zusätzlichen Umlage nach Absatz 2 die jeweiligen Beträge für das Tarifgebiet West zu berücksichtigen.</w:t>
      </w:r>
    </w:p>
    <w:p>
      <w:r>
        <w:rPr>
          <w:color w:val="555555"/>
          <w:sz w:val="17"/>
        </w:rPr>
        <w:t xml:space="preserve">Zitiervorschlag: § 39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