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37e ATV (Bayern) — Erstattungsmodell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ausgeschiedene Beteiligte ist berechtigt, anstelle der Zahlung eines Gegenwertes nach § 37c die Aufwendungen der VBL für die ihm nach § 37c Abs. 1 Satz 2 Buchst. a zuzurechnenden Leistungsansprüche zuzüglich anteiliger Verwaltungskosten in Höhe von 2 v.H. des jeweiligen Erstattungsbetrages fortlaufend zu erstatten (Erstattungsmodell). Er kann – auch nachträglich – den Erstattungszeitraum verkürzen, indem er einen Deckungsstock zur Ausfinanzierung verbleibender Ansprüche nach § 37c Abs. 1 Satz 2 Buchst. b bis c aufbaut oder zukünftig einen Gegenwert zur Ausfinanzierung solcher verbleibenden Ansprüche zahlt. Dabei sind folgende Grundsätze zu berücksichtigen:</w:t>
      </w:r>
    </w:p>
    <w:p>
      <w:r>
        <w:t xml:space="preserve">a) Beim Erstattungsmodell kann der ausscheidende Beteiligte zwischen reiner Erstattung, verkürzter Erstattung mit Deckungsstock und verkürzter Erstattung mit verbleibendem Gegenwert wählen.</w:t>
      </w:r>
    </w:p>
    <w:p>
      <w:r>
        <w:t xml:space="preserve">b) Das Ende des zu vereinbarenden Erstattungszeitraums kann der ausscheidende Beteiligte festlegen. Wählt er das reine Erstattungsmodell, endet der Erstattungszeitraum mit der letzten ihm zuzurechnenden Rentenzahlung.</w:t>
      </w:r>
    </w:p>
    <w:p>
      <w:r>
        <w:t xml:space="preserve">c) Aufbau und Höhe eines vom ausscheidenden Beteiligten gewählten Deckungsstocks bestimmen sich nach dem von ihm festgelegten Ende des Erstattungszeitraums und den dann noch vorhandenen Leistungsansprüchen und Anwartschaften; die Einzelheiten sind unter entsprechender Berücksichtigung der Maßgaben nach § 37c Abs. 1 Satz 2 Buchst. b bis e durch die VBL festzulegen. Ist der Deckungsstock am Ende des gewählten Erstattungszeitraums höher als die noch vorhandenen Leistungsansprüche, erhält der ausgeschiedene Beteiligte den Überschuss.</w:t>
      </w:r>
    </w:p>
    <w:p>
      <w:r>
        <w:t xml:space="preserve">d) Wählt der ausscheidende Beteiligte die Zahlung eines verbleibenden Gegenwertes für die bei Ende des von ihm festgelegten Erstattungszeitraums noch vorhandenen Leistungsansprüche und Anwartschaften, so gelten für den Gegenwert § 37c Abs. 1 und 2 entsprechend. Dies gilt auch bei einem gebildeten Deckungsstock.</w:t>
      </w:r>
    </w:p>
    <w:p>
      <w:r>
        <w:t xml:space="preserve">e) Ausgeschiedene Beteiligte, die statt der Zahlung eines Gegenwertes nach § 37c Abs. 1 das Erstattungsmodell wählen, werden für die Dauer der Erstattungen – wie bei einer fortbestehenden Beteiligung – an den Kosten von vergangenen bzw. zukünftigen Beendigungen von Beteiligungen beteiligt, soweit diese von den ausgeschiedenen Beteiligten nicht selbst getragen werden. Der ausgeschiedene Beteiligte hat keine Ausfallsicherung beizubringen.</w:t>
      </w:r>
    </w:p>
    <w:p>
      <w:r>
        <w:t xml:space="preserve">f) § 37d gilt entsprechend.</w:t>
      </w:r>
    </w:p>
    <w:p>
      <w:r>
        <w:rPr>
          <w:color w:val="555555"/>
          <w:sz w:val="17"/>
        </w:rPr>
        <w:t xml:space="preserve">Zitiervorschlag: § 37e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https://recht.nulegal.eu/gesetze/by-ATV--2002/37e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