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ATV (Bayern) — Sonderregelungen für die VBL</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 § 16 Abs. 1: Bei Pflichtversicherten, für die der Umlagesatz des Abrechnungsverbandes West der VBL maßgebend ist, beträgt der Umlage-Beitrag 1,41 v.H. des zusatzversorgungspflichtigen Entgelts. Neben dem Umlage-Beitrag nach Satz 1 wird ein zusätzlicher Arbeitnehmerbeitrag zur Umlage in Höhe von 0,4 v.H. des zusatzversorgungspflichtigen Entgelts erhoben; abweichend davon beträgt der zusätzliche Arbeitnehmerbeitrag zur Umlage bei</w:t>
      </w:r>
    </w:p>
    <w:p>
      <w:r>
        <w:t xml:space="preserve">a) den Beschäftigten eines Mitglieds der TdL oder eines Mitglieds eines Mitgliedsverbandes der TdL, die bei der VBL pflichtversichert sind, in der Zeit vom 1. Juli 2016 bis 30. Juni 2017 0,3 v.H. des zusatzversorgungspflichtigen Entgelts;</w:t>
      </w:r>
    </w:p>
    <w:p>
      <w:r>
        <w:t xml:space="preserve">b) den Beschäftigten des Bundes und den Beschäftigten eines Mitglieds eines Mitgliedsverbandes der VKA, die bei der VBL pflichtversichert sind,</w:t>
      </w:r>
    </w:p>
    <w:p>
      <w:r>
        <w:t xml:space="preserve">– in der Zeit vom 1. Juli 2016 bis 30. Juni 2017 0,2 v.H. des zusatzversorgungspflichtigen Entgelts und</w:t>
      </w:r>
    </w:p>
    <w:p>
      <w:r>
        <w:t xml:space="preserve">– in der Zeit vom 1. Juli 2017 bis 30. Juni 2018 0,3 v.H. des zusatzversorgungspflichtigen Entgelts.</w:t>
      </w:r>
    </w:p>
    <w:p>
      <w:r>
        <w:t xml:space="preserve">Der zusätzliche Arbeitnehmerbeitrag zur Umlage nach Satz 2 dient der Finanzierung von Mehrkosten aufgrund der Veränderung der biometrischen Risiken (Richttafeln Heubeck 1998, derzeit VBL 2010G); er wird zunächst in einem Sondervermögen des Abrechnungsverbandes West der VBL angespart. Die Arbeitgeber im Abrechnungsverband West der VBL tragen entsprechend dem periodischen Bedarf im Umlageverfahren eine Umlage von 6,45 v.H. bis zu 6,85 v.H. der zusatzversorgungspflichtigen Entgelte. Für die Finanzierung der sich aufgrund der veränderten biometrischen Risikoverhältnisse im Abrechnungsverband West der VBL ergebenden Mehrkosten gilt folgendes Verfahren:</w:t>
      </w:r>
    </w:p>
    <w:p>
      <w:r>
        <w:t xml:space="preserve">a) Die Mehrkosten aufgrund der veränderten biometrischen Risikoverhältnisse im Sinne von Satz 3 werden für den jeweiligen Deckungsabschnitt pauschal ermittelt, indem auf die sich für die einzelnen Kalenderjahre des Deckungsabschnitts ergebenden Rentenausgaben der sich aus der Anlage 6 jeweils ergebende Vomhundertsatz angewandt wird.</w:t>
      </w:r>
    </w:p>
    <w:p>
      <w:r>
        <w:t xml:space="preserve">b) Die Hälfte der sich nach Buchstabe a ergebenden Mehrkosten in dem jeweiligen Deckungsabschnitt wird durch eine Entnahme aus dem Sondervermögen nach Satz 3 finanziert; die aus dem Sondervermögen hierzu entnommenen Mittel sind dem jeweiligen Arbeitgeber bzw. seiner Arbeitgebergruppe in dem Verhältnis zuzurechnen, in dem das Sondervermögen von deren Beschäftigten aufgebaut wurde.</w:t>
      </w:r>
    </w:p>
    <w:p>
      <w:r>
        <w:t xml:space="preserve">c) Die andere Hälfte der sich nach Buchstabe a ergebenden Mehrkosten, höchstens jedoch 0,4 v.H. der zusatzversorgungspflichtigen Entgelte, wird von den Arbeitgebern im Rahmen der Festsetzung des Finanzierungsaufwandes für den jeweiligen Deckungsabschnitt getragen.</w:t>
      </w:r>
    </w:p>
    <w:p>
      <w:r>
        <w:t xml:space="preserve">d) Die Anwendung der Buchstaben a bis c im jeweiligen Deckungsabschnitt setzt einen Umlagesatz in diesem Deckungsabschnitt von mindestens 7,86 v.H. voraus.</w:t>
      </w:r>
    </w:p>
    <w:p>
      <w:r>
        <w:t xml:space="preserve">Protokollnotizen zu Absatz 1:</w:t>
      </w:r>
    </w:p>
    <w:p>
      <w:r>
        <w:t xml:space="preserve">1. Eine Entnahme aus dem Sondervermögen erfolgt erst ab 2023.</w:t>
      </w:r>
    </w:p>
    <w:p>
      <w:r>
        <w:t xml:space="preserve">2. Über die Frage der Finanzierung der durch die neuen Startgutschriften entstehenden Mehrkosten werden die Tarifvertragsparteien entscheiden, wenn das derzeitige von den Arbeitgebern zu tragende Finanzierungsvolumen (Umlage-/Sanierungsgeldsätze) bei der VBL (Abrechnungsverband West) nicht ausreichen sollte.</w:t>
      </w:r>
    </w:p>
    <w:p>
      <w:r>
        <w:t xml:space="preserve">(2) Zu § 16 Abs. 2: Bei Pflichtversicherten, deren zusatzversorgungspflichtiges Entgelt sich nach für das Tarifgebiet West geltenden Tarifvertragsregelungen bemisst und für die der Umlagesatz des Abrechnungsverbandes West maßgebend ist, gilt anstelle des in § 16 Abs. 2 genannten Betrages ein Betrag von 92,03 Euro.</w:t>
      </w:r>
    </w:p>
    <w:p>
      <w:r>
        <w:t xml:space="preserve">(2a) Zu § 16 Abs. 5: An Stelle des § 16 Abs. 5 gilt folgende Fassung:</w:t>
      </w:r>
    </w:p>
    <w:p>
      <w:r>
        <w:t xml:space="preserve">“(5) § 16 Abs. 4 gilt entsprechend, wenn ein Arbeitgeber einen wesentlichen Teil der über ihn Pflichtversicherten auf einen oder mehrere Arbeitgeber übertragen hat, der/die an der VBL nicht beteiligt ist/sind.“</w:t>
      </w:r>
    </w:p>
    <w:p>
      <w:r>
        <w:t xml:space="preserve">(3) Zu § 17: Die Sanierungsgelder nach § 17 werden im Abrechnungsverband West nach dem Verhältnis der Entgeltsumme aller Pflichtversicherten zuzüglich der neunfachen Rentensumme aller Renten zu den entsprechenden Werten, die einem Arbeitgeberverband oder einem Arbeitgeber zurechenbar sind, erhoben. Die Satzung regelt die Grundsätze der Zuordnung von Beteiligten zu den jeweiligen Arbeitgebergruppen entsprechend dem Altersvorsorgeplan 2001 und dem Beschluss des Verwaltungsrates vom 1. Februar 2002.</w:t>
      </w:r>
    </w:p>
    <w:p>
      <w:r>
        <w:t xml:space="preserve">(4) Zu § 26 Abs. 3: Die VBL hat die für die sonstigen Pensionskassen geltenden Regelungen des § 54 Abs. 2 und 3 VAG in Verbindung mit der Anlageverordnung, der §§ 54b, 66 VAG einschließlich der nach § 65 VAG erlassenen Deckungsrückstellungsverordnung zu beachten, soweit sich aufsichtsrechtlich nichts anderes ergibt.</w:t>
      </w:r>
    </w:p>
    <w:p>
      <w:r>
        <w:t xml:space="preserve">(5) Zu § 34 Abs. 1: § 34 Abs. 1 Satz 2 gilt in folgender Fassung:</w:t>
      </w:r>
    </w:p>
    <w:p>
      <w:r>
        <w:t xml:space="preserve">“ Soweit die Startgutschrift nach § 18 Abs. 2 BetrAVG berechnet wurde, sind § 32 Abs. 6 sowie § 33 Abs. 1 Satz 3 und Abs. 1a entsprechend anzuwenden.“</w:t>
      </w:r>
    </w:p>
    <w:p>
      <w:r>
        <w:t xml:space="preserve">(6) Zu § 36a Abs. 2: Anstelle von § 36a Abs. 2 Sätze 2 und 3 gilt folgender Satz 2:</w:t>
      </w:r>
    </w:p>
    <w:p>
      <w:r>
        <w:t xml:space="preserve">“ Für Mutterschutzzeiten vor dem 1. Januar 2002 gilt Satz 1 bei entsprechendem Antrag der Versicherten bzw. Rentenberechtigten sinngemäß für die Berechnung ihrer bis zum 31. Dezember 2001 erworbenen Anwartschaften.“</w:t>
      </w:r>
    </w:p>
    <w:p>
      <w:r>
        <w:rPr>
          <w:color w:val="555555"/>
          <w:sz w:val="17"/>
        </w:rPr>
        <w:t xml:space="preserve">Zitiervorschlag: § 37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