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ATV (Bayern) — Sterbegeld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Sterbegeld wird bei Fortgeltung des bisherigen Rechts Anspruchsberechtigten unter Berücksichtigung des am 31. Dezember 2001 maßgebenden Gesamtbeschäftigungsquotienten in folgender Höhe gezahlt für Sterbefälle</w:t>
      </w:r>
    </w:p>
    <w:p>
      <w:r>
        <w:t xml:space="preserve">im Jahr 2002</w:t>
      </w:r>
    </w:p>
    <w:p>
      <w:r>
        <w:t xml:space="preserve">1535 Euro,</w:t>
      </w:r>
    </w:p>
    <w:p>
      <w:r>
        <w:t xml:space="preserve">im Jahr 2003</w:t>
      </w:r>
    </w:p>
    <w:p>
      <w:r>
        <w:t xml:space="preserve">1500 Euro,</w:t>
      </w:r>
    </w:p>
    <w:p>
      <w:r>
        <w:t xml:space="preserve">im Jahr 2004</w:t>
      </w:r>
    </w:p>
    <w:p>
      <w:r>
        <w:t xml:space="preserve">1200 Euro,</w:t>
      </w:r>
    </w:p>
    <w:p>
      <w:r>
        <w:t xml:space="preserve">im Jahr 2005</w:t>
      </w:r>
    </w:p>
    <w:p>
      <w:r>
        <w:t xml:space="preserve">900 Euro,</w:t>
      </w:r>
    </w:p>
    <w:p>
      <w:r>
        <w:t xml:space="preserve">im Jahr 2006</w:t>
      </w:r>
    </w:p>
    <w:p>
      <w:r>
        <w:t xml:space="preserve">600 Euro,</w:t>
      </w:r>
    </w:p>
    <w:p>
      <w:r>
        <w:t xml:space="preserve">im Jahr 2007</w:t>
      </w:r>
    </w:p>
    <w:p>
      <w:r>
        <w:t xml:space="preserve">300 Euro.</w:t>
      </w:r>
    </w:p>
    <w:p>
      <w:r>
        <w:t xml:space="preserve">Ab dem Jahr 2008 entfällt das Sterbegeld.</w:t>
      </w:r>
    </w:p>
    <w:p>
      <w:r>
        <w:rPr>
          <w:color w:val="555555"/>
          <w:sz w:val="17"/>
        </w:rPr>
        <w:t xml:space="preserve">Zitiervorschlag: § 35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