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ATV (Bayern) — Am 31. Dezember 2001 Versicherungsberechtigte</w:t>
      </w:r>
    </w:p>
    <w:p>
      <w:r>
        <w:rPr>
          <w:color w:val="555555"/>
          <w:sz w:val="18"/>
        </w:rPr>
        <w:t xml:space="preserve">Tarifvertrag Altersversorgung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Versicherungsrentenberechtigte und versicherungsrentenberechtigte Hinterbliebene, deren Versicherungsrente spätestens am 31. Dezember 2001 begonnen hat, wird die am 31. Dezember 2001 maßgebende Versicherungsrente festgestellt.</w:t>
      </w:r>
    </w:p>
    <w:p>
      <w:r>
        <w:t xml:space="preserve">(2) Die nach Absatz 1 festgestellten Versicherungsrenten werden als Besitzstandsrenten weitergezahlt und entsprechend § 11 Abs. 1 dynamisiert.</w:t>
      </w:r>
    </w:p>
    <w:p>
      <w:r>
        <w:t xml:space="preserve">(3) § 30 Abs. 3 bis 5 gilt entsprechend.</w:t>
      </w:r>
    </w:p>
    <w:p>
      <w:r>
        <w:t xml:space="preserve">(4) Die Absätze 1 bis 3 gelten für Leistungen nach der am Tag vor In-Kraft-Treten dieses Tarifvertrages geltenden Sonderregelung für Arbeitnehmer im Beitrittsgebiet (§ 105b VBL-Satzung) und für Betriebsrenten nach § 18 BetrAVG, die spätestens am 31. Dezember 2001 begonnen haben, entsprechend.</w:t>
      </w:r>
    </w:p>
    <w:p>
      <w:r>
        <w:rPr>
          <w:color w:val="555555"/>
          <w:sz w:val="17"/>
        </w:rPr>
        <w:t xml:space="preserve">Zitiervorschlag: § 31 ATV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https://recht.nulegal.eu/gesetze/by-ATV--2002/31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