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ATV (Bayern) — Freiwillige Versicherung</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Den Pflichtversicherten wird die Möglichkeit eröffnet, durch Entrichtung eigener Beiträge unter Inanspruchnahme der steuerlichen Förderung (Sonderausgabenabzug, Zulage) bei der Zusatzversorgungseinrichtung nach deren Satzungsvorschriften eine zusätzliche kapitalgedeckte Altersvorsorge im Rahmen der betrieblichen Altersversorgung aufzubauen. Nach Beendigung der Pflichtversicherung kann die freiwillige Versicherung – unabhängig davon, ob eine steuerliche Förderung möglich ist – längstens bis zum Eintritt des Versicherungsfalles (§ 5) fortgesetzt werden. Die Fortsetzung ist innerhalb einer Ausschlussfrist von drei Monaten nach Beendigung der Pflichtversicherung zu beantragen.</w:t>
      </w:r>
    </w:p>
    <w:p>
      <w:r>
        <w:t xml:space="preserve">(2) Die eigenen Beiträge der Pflichtversicherten zur freiwilligen Versicherung werden entsprechend deren schriftlicher Ermächtigung vom Arbeitgeber aus dem Arbeitsentgelt an die Zusatzversorgungseinrichtung abgeführt. Der Arbeitgeber schuldet auch in Anbetracht von Absatz 5 keine eigenen Beiträge.</w:t>
      </w:r>
    </w:p>
    <w:p>
      <w:r>
        <w:t xml:space="preserve">(3) Die freiwillige Versicherung kann in Anlehnung an das Punktemodell erfolgen. Wahlweise kann sie auch durch fondsgebundene Rentenversicherung erfolgen, sofern die Zusatzversorgungseinrichtung Entsprechendes anbietet. Unbeschadet etwaiger von der Zusatzversorgungseinrichtung übernommener Zinsgarantien, haftet der Arbeitgeber nach § 1 Abs. 2 Nr. 2 BetrAVG nur für den Erhalt der eingezahlten Beiträge, soweit sie nicht rechnungsmäßig für einen biometrischen Risikoausgleich verbraucht werden. Das Nähere regelt die Satzung der Zusatzversorgungseinrichtung.</w:t>
      </w:r>
    </w:p>
    <w:p>
      <w:r>
        <w:t xml:space="preserve">(4) Die Beschäftigten behalten ihre Anwartschaft, wenn ihr Arbeitsverhältnis vor Eintritt des Versicherungsfalles (§ 5) endet. Eine Abfindung von Anwartschaften ist nur dann möglich, wenn der Beschäftigte die freiwillige Versicherung kündigt. Im Rahmen dieser Abfindung erhält der Beschäftigte seine eingezahlten Beiträge abzüglich der durch die Satzung und die Allgemeinen Versicherungsbedingungen der freiwilligen Versicherung der Zusatzversorgungseinrichtung näher beschriebenen Abschläge zurück. Die Beschäftigten können jedoch verlangen, dass der Barwert ihrer Anwartschaft auf eine andere Zusatzversorgungseinrichtung, auf die die bisherige Pflichtversicherung nach § 4 übergeleitet wird, oder auf ein Versorgungssystem einer überstaatlichen Einrichtung, mit der ein entsprechendes Abkommen besteht, zu übertragen ist, wenn die Versorgungszusage des neuen Arbeitgebers eine dem übertragenen Barwert wertmäßig entsprechende Zusage auf lebenslange Altersvorsorge umfasst. Besteht bei einem Arbeitgeberwechsel die Pflichtversicherung bei der Zusatzversorgungseinrichtung fort, kann verlangt werden, dass die Versorgungszusage des neuen Arbeitgebers eine dem Barwert der bisherigen Anwartschaften wertmäßig entsprechende Zusage auf lebenslange Altersvorsorge umfasst. Das Verlangen ist nur innerhalb einer Ausschlussfrist von sechs Monaten nach Beendigung des Arbeitsverhältnisses möglich. Mit der Versorgungszusage durch den neuen Arbeitgeber erlischt die Verpflichtung des früheren Arbeitgebers.</w:t>
      </w:r>
    </w:p>
    <w:p>
      <w:r>
        <w:t xml:space="preserve">(5) Der Arbeitgeber kann zu einer freiwilligen Versicherung der Beschäftigten eigene Beiträge außerhalb einer Entgeltumwandlung leisten; Absätze 2 bis 4 gelten entsprechend.</w:t>
      </w:r>
    </w:p>
    <w:p>
      <w:r>
        <w:t xml:space="preserve">Protokollnotiz zu Absatz 1:</w:t>
      </w:r>
    </w:p>
    <w:p>
      <w:r>
        <w:t xml:space="preserve">Arbeiterinnen/Arbeiter, die nach Satz 3 der Anlage 2 bei der Bahnversicherungsanstalt Abteilung B versichert bleiben und die sonst bei der VBL pflichtversichert wären, können die freiwillige Versicherung bei der VBL entsprechend § 26 durchführen.</w:t>
      </w:r>
    </w:p>
    <w:p>
      <w:r>
        <w:rPr>
          <w:color w:val="555555"/>
          <w:sz w:val="17"/>
        </w:rPr>
        <w:t xml:space="preserve">Zitiervorschlag: § 26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