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ATV (Bayern) — Ausschlussfristen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Anspruch auf Betriebsrente für einen Zeitraum, der mehr als zwei Jahre vor dem Ersten des Monats liegt, in dem der Antrag bei der Zusatzversorgungseinrichtung eingegangen ist, kann nicht mehr geltend gemacht werden (Ausschlussfrist). Dem Antrag steht eine Mitteilung der/des Berechtigten gleich, die zu einem höheren Anspruch führt. Die Beanstandung, die mitgeteilte laufende monatliche Betriebsrente, eine Rentennachzahlung, eine Abfindung, eine Beitragserstattung oder eine Rückzahlung sei nicht oder nicht in der mitgeteilten Höhe ausgezahlt worden, ist nur schriftlich und innerhalb einer Ausschlussfrist von einem Jahr zulässig; die Frist beginnt bei laufenden Betriebsrenten mit dem Ersten des Monats, für den die Betriebsrente zu zahlen ist, im Übrigen mit dem Zugang der Mitteilung über die entsprechende Leistung.</w:t>
      </w:r>
    </w:p>
    <w:p>
      <w:r>
        <w:t xml:space="preserve">Auf die Ausschlussfrist ist in der Mitteilung über die Leistung hinzuweisen.</w:t>
      </w:r>
    </w:p>
    <w:p>
      <w:r>
        <w:rPr>
          <w:color w:val="555555"/>
          <w:sz w:val="17"/>
        </w:rPr>
        <w:t xml:space="preserve">Zitiervorschlag: § 23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