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ATV (Bayern) — Zahlung und Abfindung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Betriebsrenten werden monatlich im Voraus auf ein Girokonto der Betriebsrentenberechtigten innerhalb eines Mitgliedstaates der Europäischen Union überwiesen. Die Kosten der Überweisung auf ein Konto im Inland, mit Ausnahme der Kosten für die Gutschrift, trägt die Zusatzversorgungseinrichtung. Besteht der Betriebsrentenanspruch nicht für einen vollen Kalendermonat, wird der Teil gezahlt, der auf den Anspruchszeitraum entfällt.</w:t>
      </w:r>
    </w:p>
    <w:p>
      <w:r>
        <w:t xml:space="preserve">(2) Die Satzung der Zusatzversorgungseinrichtung kann vorsehen, dass Betriebsrenten, die einen Monatsbetrag von bis zu 30 Euro nicht überschreiten, abgefunden werden. Darüber hinaus kann die Abfindung der Betriebsrente ermöglicht werden, wenn die Kosten der Übermittlung der Betriebsrenten unverhältnismäßig hoch sind.</w:t>
      </w:r>
    </w:p>
    <w:p>
      <w:r>
        <w:rPr>
          <w:color w:val="555555"/>
          <w:sz w:val="17"/>
        </w:rPr>
        <w:t xml:space="preserve">Zitiervorschlag: § 22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