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ATV (Bayern) — Pflichten der Versicherten und der Betriebsrentenberechtigten</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Zusatzversorgungseinrichtung sind alle für die Prüfung des Anspruchs auf Betriebsrente notwendigen Angaben zu machen und die erforderlichen Nachweise beizubringen. Die Zusatzversorgungseinrichtung fordert die für die Feststellung des Eintritts des Versicherungsfalls und die Berechnung der Betriebsrente erforderlichen Daten elektronisch durch gesicherte und verschlüsselte Datenübertragung von den Trägern der gesetzlichen Rentenversicherung an. Dies gilt nach Rentenbeginn auch für die Prüfung des Anspruchs auf Betriebsrente dem Grunde und der Höhe nach. Soweit eine elektronische Datenübertragung der erforderlichen Daten nicht möglich ist, besteht die Verpflichtung nach Satz 1 insoweit fort. Die Zusatzversorgungseinrichtung informiert die Betriebsrentenberechtigten über die elektronische Datenübertragung. Die Satzung der Zusatzversorgungseinrichtung regelt den Zeitpunkt, von dem an die Daten erstmals elektronisch bei den Trägern der gesetzlichen Rentenversicherung angefordert werden.</w:t>
      </w:r>
    </w:p>
    <w:p>
      <w:r>
        <w:t xml:space="preserve">(2) Kommen Betriebsrentenberechtigte der Verpflichtung nach Absatz 1 nicht nach, kann die Betriebsrente zurückbehalten werden.</w:t>
      </w:r>
    </w:p>
    <w:p>
      <w:r>
        <w:t xml:space="preserve">(3) Vereinbarungen mit Dritten über die Abtretung, Verpfändung oder Beleihung eines Anspruchs auf Betriebsrente sind vorbehaltlich zwingender gesetzlicher Vorschriften gegenüber dem Arbeitgeber und der Zusatzversorgungseinrichtung unwirksam.</w:t>
      </w:r>
    </w:p>
    <w:p>
      <w:r>
        <w:t xml:space="preserve">(4) Ist der Versicherungsfall durch ein Verhalten Dritter verursacht worden, sind Schadensersatzansprüche, soweit rechtlich zulässig, bis zur Höhe des Brutto-Betrages der Betriebsrente an die Zusatzversorgungseinrichtung abzutreten; soweit die Abtretung nicht erfolgt oder die zur Durchsetzung des Anspruchs erforderlichen Nachweise nicht vorgelegt werden, kann die Betriebsrente zurückbehalten werden.</w:t>
      </w:r>
    </w:p>
    <w:p>
      <w:r>
        <w:t xml:space="preserve">(5) Ohne Rechtsgrund gezahlte Betriebsrenten sind in Höhe ihrer Brutto-Beträge zurückzuzahlen. Haben Versicherte oder Betriebsrentenberechtigte ihre Pflichten nach Absatz 1 verletzt, können sie sich nicht auf den Wegfall der Bereicherung berufen.</w:t>
      </w:r>
    </w:p>
    <w:p>
      <w:r>
        <w:rPr>
          <w:color w:val="555555"/>
          <w:sz w:val="17"/>
        </w:rPr>
        <w:t xml:space="preserve">Zitiervorschlag: § 20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