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ATV (Bayern) — Beiträge im Kapitaldeckungsverfahren</w:t>
      </w:r>
    </w:p>
    <w:p>
      <w:r>
        <w:rPr>
          <w:color w:val="555555"/>
          <w:sz w:val="18"/>
        </w:rPr>
        <w:t xml:space="preserve">Tarifvertrag Altersversorgung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Soweit die Zusatzversorgungseinrichtung für die Pflichtversicherung Beiträge im Kapitaldeckungsverfahren von höchstens vier v.H. des zusatzversorgungspflichtigen Entgelts erhebt, trägt diese der Arbeitgeber, soweit sich aus § 37a nichts anderes ergibt.</w:t>
      </w:r>
    </w:p>
    <w:p>
      <w:r>
        <w:t xml:space="preserve">(2) Die Beiträge im Sinne des Absatzes 1 einschließlich der darauf entfallenden Erträge sind von der Zusatzversorgungseinrichtung auf einem gesonderten personenbezogenen Versorgungskonto getrennt von den sonstigen Einnahmen zu führen (Versorgungskonto II).</w:t>
      </w:r>
    </w:p>
    <w:p>
      <w:r>
        <w:t xml:space="preserve">(3) Die Einnahmen und Ausgaben einschließlich der Kapitalanlagen sind gesondert zu führen und zu verwalten.</w:t>
      </w:r>
    </w:p>
    <w:p>
      <w:r>
        <w:rPr>
          <w:color w:val="555555"/>
          <w:sz w:val="17"/>
        </w:rPr>
        <w:t xml:space="preserve">Zitiervorschlag: § 18 ATV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https://recht.nulegal.eu/gesetze/by-ATV--2002/18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