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ATV (Bayern) — Sanierungsgelder</w:t>
      </w:r>
    </w:p>
    <w:p>
      <w:r>
        <w:rPr>
          <w:color w:val="555555"/>
          <w:sz w:val="18"/>
        </w:rPr>
        <w:t xml:space="preserve">Tarifvertrag Altersversorgung</w:t>
      </w:r>
    </w:p>
    <w:p>
      <w:r>
        <w:rPr>
          <w:color w:val="555555"/>
          <w:sz w:val="18"/>
        </w:rPr>
        <w:t xml:space="preserve">Landesrecht Bayern</w:t>
      </w:r>
    </w:p>
    <w:p>
      <w:r>
        <w:rPr>
          <w:color w:val="555555"/>
          <w:sz w:val="18"/>
        </w:rPr>
        <w:t xml:space="preserve">Stand: 25.08.2026 (konsolidierte Textfassung, kein amtliches Inkrafttretensdatum)</w:t>
      </w:r>
    </w:p>
    <w:p>
      <w:r>
        <w:t xml:space="preserve">(1) Zur Deckung des infolge der Schließung des Gesamtversorgungssystems und des Wechsels vom Gesamtversorgungssystem zum Punktemodell zusätzlichen Finanzbedarfs, der über die am 1. November 2001 jeweils geltende Umlage hinausgeht, erhebt die Zusatzversorgungseinrichtung vom Arbeitgeber Sanierungsgelder. Diese Sanierungsgelder sind kein steuerpflichtiger Arbeitslohn.</w:t>
      </w:r>
    </w:p>
    <w:p>
      <w:r>
        <w:t xml:space="preserve">(2) Sanierungsgelder kommen nicht in Betracht, wenn der am 1. November 2001 jeweils gültige Umlagesatz weniger als vier v.H. des zusatzversorgungspflichtigen Entgelts betragen hat.</w:t>
      </w:r>
    </w:p>
    <w:p>
      <w:r>
        <w:rPr>
          <w:color w:val="555555"/>
          <w:sz w:val="17"/>
        </w:rPr>
        <w:t xml:space="preserve">Zitiervorschlag: § 17 ATV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https://recht.nulegal.eu/gesetze/by-ATV--2002/17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