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ATV (Bayern) — Umlagen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Zusatzversorgungseinrichtung festgesetzte monatliche Umlagen in Höhe eines bestimmten Vomhundertsatzes des zusatzversorgungspflichtigen Entgelts der Beschäftigten (Umlagesatz) führt der Arbeitgeber – ggf. einschließlich des von der/dem Beschäftigten zu tragenden Umlage-Beitrags – an die Zusatzversorgungseinrichtung ab. Die Umlage-Beiträge der Beschäftigten behält der Arbeitgeber von deren Arbeitsentgelt ein. Bei Pflichtversicherten bleiben die am 1. November 2001 geltenden Vomhundertsätze für die Erhebung der Umlage-Beiträge bei der jeweiligen Zusatzversorgungseinrichtung maßgebend, soweit sich nicht aus § 37 oder § 37a etwas anderes ergibt. Der Umlage-Beitrag für die Beschäftigten des Saarlandes beträgt abweichend von Satz 3 ab 1. Januar 2007 1,41 v.H. Neben dem Umlage-Beitrag nach Satz 3 bzw. 4 wird von den bei der ZVK-Saar pflichtversicherten Beschäftigten entsprechend § 37 Abs. 1 Satz 2 und 3 ein zusätzlicher Arbeitnehmerbeitrag zur Umlage in Höhe von 0,4 v.H. des zusatzversorgungspflichtigen Entgelts erhoben; abweichend davon beträgt der zusätzliche Arbeitnehmerbeitrag zur Umlage für</w:t>
      </w:r>
    </w:p>
    <w:p>
      <w:r>
        <w:t xml:space="preserve">a) die Beschäftigten des Saarlandes in der Zeit vom 1. Juli 2016 bis 30. Juni 2017 0,3 v.H. des zusatzversorgungspflichtigen Entgelts;</w:t>
      </w:r>
    </w:p>
    <w:p>
      <w:r>
        <w:t xml:space="preserve">b) die Beschäftigten der Mitglieder des Kommunalen Arbeitgeberverbandes Saar</w:t>
      </w:r>
    </w:p>
    <w:p>
      <w:r>
        <w:t xml:space="preserve">– in der Zeit vom 1. Juli 2016 bis 30. Juni 2017 0,2 v.H. des zusatzversorgungspflichtigen Entgelts und</w:t>
      </w:r>
    </w:p>
    <w:p>
      <w:r>
        <w:t xml:space="preserve">– in der Zeit vom 1. Juli 2017 bis 30. Juni 2018 0,3 v.H. des zusatzversorgungspflichtigen Entgelts.</w:t>
      </w:r>
    </w:p>
    <w:p>
      <w:r>
        <w:t xml:space="preserve">Ergeben sich für das Saarland und die Mitglieder des Kommunalen Arbeitgeberverbandes Saar bei der ZVK-Saar künftig Mehrkosten aufgrund der veränderten biometrischen Risikoverhältnisse, werden diese paritätisch je zur Hälfte vom Arbeitgeber und durch eine entsprechende Entnahme aus dem mit dem zusätzlichen Arbeitnehmerbeitrag gebildeten Vermögen getragen.</w:t>
      </w:r>
    </w:p>
    <w:p>
      <w:r>
        <w:t xml:space="preserve">(2) Der Arbeitgeber hat die auf ihn entfallende Umlage bis zu einem Betrag von monatlich 89,48 Euro pauschal zu versteuern, solange die Pauschalversteuerung rechtlich möglich ist und soweit sich aus § 37 nicht etwas anderes ergibt.</w:t>
      </w:r>
    </w:p>
    <w:p>
      <w:r>
        <w:t xml:space="preserve">(3) Die auf die Umlage entfallenden Pflichtversicherungszeiten und die daraus erworbenen Versorgungspunkte sind von der Zusatzversorgungseinrichtung auf einem personenbezogenen Versorgungskonto zu führen (Versorgungskonto I); umfasst sind auch Aufwendungen und Auszahlungen. Das Weitere regelt die Satzung der Zusatzversorgungseinrichtung.</w:t>
      </w:r>
    </w:p>
    <w:p>
      <w:r>
        <w:t xml:space="preserve">(4) Zur Sicherung der Finanzierung der Umlage- und Solidargemeinschaft müssen Arbeitgeber, die aus einer ganz oder teilweise umlagefinanzierten Zusatzversorgung ausscheiden, einen Gegenwert für die bei der Zusatzversorgungseinrichtung verbleibenden Rentenanwartschaften und -ansprüche zahlen. Die Höhe des Gegenwerts ist nach versicherungsmathematischen Grundsätzen so zu bemessen, dass verbleibende Rentenanwartschaften und -ansprüche, die dem ausgeschiedenen Arbeitgeber zuzurechnen sind, ausfinanziert und zukünftige Ausgaben der Zusatzversorgungseinrichtung zur Deckung der Verwaltungskosten und möglicher Fehlbeträge abgegolten sind. Die dabei verwendeten Rechnungsgrundlagen, insbesondere der Rechnungszins und die Sterbetafeln, müssen so kalkuliert sein, dass die Finanzierung gesichert ist. Die Einzelheiten der Gegenwertberechnung nach den Sätzen 2 und 3 regeln die Zusatzversorgungseinrichtungen eigenständig.</w:t>
      </w:r>
    </w:p>
    <w:p>
      <w:r>
        <w:t xml:space="preserve">(5) Absatz 4 gilt entsprechend, wenn ein Arbeitgeber Pflichtversicherte auf einen oder mehrere Arbeitgeber übertragen hat, der/die an der Zusatzversorgungseinrichtung nicht beteiligt ist/sind.</w:t>
      </w:r>
    </w:p>
    <w:p>
      <w:r>
        <w:t xml:space="preserve">Protokollnotiz:</w:t>
      </w:r>
    </w:p>
    <w:p>
      <w:r>
        <w:t xml:space="preserve">Für den Fall, dass die pauschal versteuerte Umlage über den am 1. Januar 2001 geltenden Umfang hinaus in der Sozialversicherung beitragspflichtig werden sollte, werden die Tarifvertragsparteien unverzüglich Verhandlungen aufnehmen mit dem Ziel, ein dem Zweck der Pauschalversteuerung entsprechendes Ergebnis zu erreichen.</w:t>
      </w:r>
    </w:p>
    <w:p>
      <w:r>
        <w:rPr>
          <w:color w:val="555555"/>
          <w:sz w:val="17"/>
        </w:rPr>
        <w:t xml:space="preserve">Zitiervorschlag: § 16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