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ATV (Bayern) — Finanzierungsgrundsätze und zusatzversorgungspflichtiges Entgelt</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Finanzierung der Pflichtversicherung wird von den Zusatzversorgungseinrichtungen eigenständig geregelt. Nach den Möglichkeiten der einzelnen Zusatzversorgungseinrichtungen kann die Umlagefinanzierung schrittweise durch eine kapitalgedeckte Finanzierung abgelöst werden (Kombinationsmodell).</w:t>
      </w:r>
    </w:p>
    <w:p>
      <w:r>
        <w:t xml:space="preserve">(2) Zusatzversorgungspflichtiges Entgelt ist, soweit sich aus Anlage 3 nichts anderes ergibt, der steuerpflichtige Arbeitslohn. Wird Altersteilzeit nach dem 31. Dezember 2002 vereinbart, ist – unter Berücksichtigung des Satzes 1 – zusatzversorgungspflichtiges Entgelt während des Altersteilzeitarbeitsverhältnisses das 1,8fache der zur Hälfte zustehenden Bezüge nach § 4 TV ATZ zuzüglich derjenigen Bezüge, die in voller Höhe zustehen.</w:t>
      </w:r>
    </w:p>
    <w:p>
      <w:r>
        <w:t xml:space="preserve">(3) Durch landesbezirklichen Tarifvertrag kann für Mitglieder/Beteiligte einer Zusatzversorgungseinrichtung, die sich in einer wirtschaftlichen Notlage befinden, für die Pflichtversicherung geregelt werden, dass für die Zusage von Leistungen für die Dauer von bis zu drei Jahren bis zu einer Mindesthöhe von zwei v.H. von der nach § 8 Abs. 2 zugesagten Leistung abgewichen werden kann. Entsprechend der Verminderung der Leistungszusage für die bei dem Mitglied/Beteiligten beschäftigten Pflichtversicherten reduziert sich für die Mitglieder/Beteiligten insoweit die zu tragende Umlagebelastung bzw. der zu zahlende Beitrag an die Zusatzversorgungseinrichtung. Die Feststellung der wirtschaftlichen Notlage wird durch eine paritätisch besetzte Kommission der betroffenen Tarifvertragsparteien getroffen. Die Regelung kann durch landesbezirklichen Tarifvertrag über die in Satz 1 genannte Dauer verlängert werden.</w:t>
      </w:r>
    </w:p>
    <w:p>
      <w:r>
        <w:t xml:space="preserve">Protokollnotiz zu Absatz 2 Satz 2:</w:t>
      </w:r>
    </w:p>
    <w:p>
      <w:r>
        <w:t xml:space="preserve">Wird aufgrund einer Einzelregelung ein Beitrag an die gesetzliche Rentenversicherung gezahlt, der den Mindestbeitrag nach § 3 Abs. 1 Nr. 1 Buchst. b des Altersteilzeitgesetzes übersteigt, ist das zusatzversorgungspflichtige Entgelt nach Absatz 2 Satz 2 entsprechend zu erhöhen.</w:t>
      </w:r>
    </w:p>
    <w:p>
      <w:r>
        <w:rPr>
          <w:color w:val="555555"/>
          <w:sz w:val="17"/>
        </w:rPr>
        <w:t xml:space="preserve">Zitiervorschlag: § 15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